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86" w:rsidRPr="00630001" w:rsidRDefault="00630001">
      <w:pPr>
        <w:tabs>
          <w:tab w:val="clear" w:pos="9000"/>
          <w:tab w:val="right" w:pos="9720"/>
        </w:tabs>
        <w:rPr>
          <w:rFonts w:cs="Arial"/>
          <w:sz w:val="48"/>
          <w:szCs w:val="48"/>
        </w:rPr>
        <w:sectPr w:rsidR="00806086" w:rsidRPr="00630001">
          <w:headerReference w:type="default" r:id="rId9"/>
          <w:footerReference w:type="even" r:id="rId10"/>
          <w:footerReference w:type="default" r:id="rId11"/>
          <w:headerReference w:type="first" r:id="rId12"/>
          <w:footerReference w:type="first" r:id="rId13"/>
          <w:pgSz w:w="11906" w:h="16838" w:code="9"/>
          <w:pgMar w:top="964" w:right="1134" w:bottom="1259" w:left="1134" w:header="720" w:footer="720" w:gutter="0"/>
          <w:cols w:space="708"/>
          <w:titlePg/>
          <w:docGrid w:linePitch="360"/>
        </w:sectPr>
      </w:pPr>
      <w:r>
        <w:rPr>
          <w:rFonts w:cs="Arial"/>
          <w:szCs w:val="24"/>
        </w:rPr>
        <w:t xml:space="preserve">                                                </w:t>
      </w:r>
    </w:p>
    <w:p w:rsidR="002D208A" w:rsidRDefault="002D208A" w:rsidP="00EF617F">
      <w:pPr>
        <w:tabs>
          <w:tab w:val="clear" w:pos="9000"/>
          <w:tab w:val="right" w:pos="9720"/>
        </w:tabs>
        <w:outlineLvl w:val="0"/>
        <w:rPr>
          <w:rFonts w:cs="Arial"/>
          <w:szCs w:val="24"/>
        </w:rPr>
      </w:pPr>
      <w:r>
        <w:rPr>
          <w:rFonts w:cs="Arial"/>
          <w:szCs w:val="24"/>
        </w:rPr>
        <w:lastRenderedPageBreak/>
        <w:t>Appendix 1</w:t>
      </w:r>
    </w:p>
    <w:p w:rsidR="002D208A" w:rsidRDefault="00EF617F" w:rsidP="00EF617F">
      <w:pPr>
        <w:tabs>
          <w:tab w:val="clear" w:pos="9000"/>
          <w:tab w:val="right" w:pos="9720"/>
        </w:tabs>
        <w:outlineLvl w:val="0"/>
        <w:rPr>
          <w:rFonts w:cs="Arial"/>
          <w:szCs w:val="24"/>
        </w:rPr>
      </w:pPr>
      <w:r>
        <w:rPr>
          <w:rFonts w:cs="Arial"/>
          <w:szCs w:val="24"/>
        </w:rPr>
        <w:t xml:space="preserve">                     </w:t>
      </w:r>
    </w:p>
    <w:p w:rsidR="00806086" w:rsidRDefault="00806086" w:rsidP="00FD3DDD">
      <w:pPr>
        <w:tabs>
          <w:tab w:val="clear" w:pos="9000"/>
          <w:tab w:val="right" w:pos="9720"/>
        </w:tabs>
        <w:jc w:val="center"/>
        <w:outlineLvl w:val="0"/>
        <w:rPr>
          <w:rFonts w:cs="Arial"/>
          <w:b/>
          <w:sz w:val="28"/>
          <w:szCs w:val="28"/>
        </w:rPr>
      </w:pPr>
      <w:r>
        <w:rPr>
          <w:rFonts w:cs="Arial"/>
          <w:b/>
          <w:sz w:val="28"/>
          <w:szCs w:val="28"/>
        </w:rPr>
        <w:t xml:space="preserve">Local Government Pension Scheme in </w:t>
      </w:r>
      <w:smartTag w:uri="urn:schemas-microsoft-com:office:smarttags" w:element="country-region">
        <w:smartTag w:uri="urn:schemas-microsoft-com:office:smarttags" w:element="place">
          <w:r>
            <w:rPr>
              <w:rFonts w:cs="Arial"/>
              <w:b/>
              <w:sz w:val="28"/>
              <w:szCs w:val="28"/>
            </w:rPr>
            <w:t>Scotland</w:t>
          </w:r>
        </w:smartTag>
      </w:smartTag>
      <w:r>
        <w:rPr>
          <w:rFonts w:cs="Arial"/>
          <w:b/>
          <w:sz w:val="28"/>
          <w:szCs w:val="28"/>
        </w:rPr>
        <w:t xml:space="preserve"> –</w:t>
      </w:r>
    </w:p>
    <w:p w:rsidR="00806086" w:rsidRDefault="0063664A" w:rsidP="002D208A">
      <w:pPr>
        <w:tabs>
          <w:tab w:val="clear" w:pos="9000"/>
          <w:tab w:val="right" w:pos="9720"/>
        </w:tabs>
        <w:jc w:val="center"/>
        <w:outlineLvl w:val="0"/>
        <w:rPr>
          <w:rFonts w:cs="Arial"/>
          <w:b/>
          <w:sz w:val="28"/>
          <w:szCs w:val="28"/>
        </w:rPr>
      </w:pPr>
      <w:r>
        <w:rPr>
          <w:rFonts w:cs="Arial"/>
          <w:b/>
          <w:sz w:val="28"/>
          <w:szCs w:val="28"/>
        </w:rPr>
        <w:t xml:space="preserve">Employer </w:t>
      </w:r>
      <w:r w:rsidR="00806086">
        <w:rPr>
          <w:rFonts w:cs="Arial"/>
          <w:b/>
          <w:sz w:val="28"/>
          <w:szCs w:val="28"/>
        </w:rPr>
        <w:t>Guidance for the Assessment of Member Contribution Rates</w:t>
      </w:r>
    </w:p>
    <w:p w:rsidR="00806086" w:rsidRDefault="00806086">
      <w:pPr>
        <w:tabs>
          <w:tab w:val="clear" w:pos="9000"/>
          <w:tab w:val="right" w:pos="9720"/>
        </w:tabs>
        <w:outlineLvl w:val="0"/>
        <w:rPr>
          <w:rFonts w:cs="Arial"/>
          <w:b/>
          <w:szCs w:val="24"/>
        </w:rPr>
      </w:pPr>
    </w:p>
    <w:p w:rsidR="00806086" w:rsidRDefault="00806086">
      <w:pPr>
        <w:tabs>
          <w:tab w:val="clear" w:pos="9000"/>
          <w:tab w:val="right" w:pos="9720"/>
        </w:tabs>
        <w:outlineLvl w:val="0"/>
        <w:rPr>
          <w:rFonts w:cs="Arial"/>
          <w:b/>
          <w:szCs w:val="24"/>
        </w:rPr>
      </w:pPr>
    </w:p>
    <w:p w:rsidR="00806086" w:rsidRDefault="00806086">
      <w:pPr>
        <w:tabs>
          <w:tab w:val="clear" w:pos="9000"/>
          <w:tab w:val="right" w:pos="9720"/>
        </w:tabs>
        <w:outlineLvl w:val="0"/>
        <w:rPr>
          <w:rFonts w:cs="Arial"/>
          <w:b/>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854"/>
      </w:tblGrid>
      <w:tr w:rsidR="00806086">
        <w:tc>
          <w:tcPr>
            <w:tcW w:w="9854" w:type="dxa"/>
          </w:tcPr>
          <w:p w:rsidR="00806086" w:rsidRDefault="00806086">
            <w:pPr>
              <w:tabs>
                <w:tab w:val="clear" w:pos="9000"/>
                <w:tab w:val="right" w:pos="9720"/>
              </w:tabs>
              <w:outlineLvl w:val="0"/>
              <w:rPr>
                <w:rFonts w:cs="Arial"/>
                <w:b/>
                <w:szCs w:val="24"/>
                <w:u w:val="single"/>
              </w:rPr>
            </w:pPr>
          </w:p>
          <w:p w:rsidR="00806086" w:rsidRDefault="00806086">
            <w:pPr>
              <w:tabs>
                <w:tab w:val="clear" w:pos="9000"/>
                <w:tab w:val="right" w:pos="9720"/>
              </w:tabs>
              <w:jc w:val="center"/>
              <w:outlineLvl w:val="0"/>
              <w:rPr>
                <w:rFonts w:cs="Arial"/>
                <w:b/>
                <w:sz w:val="28"/>
                <w:szCs w:val="28"/>
                <w:u w:val="single"/>
              </w:rPr>
            </w:pPr>
            <w:r>
              <w:rPr>
                <w:rFonts w:cs="Arial"/>
                <w:b/>
                <w:sz w:val="28"/>
                <w:szCs w:val="28"/>
                <w:u w:val="single"/>
              </w:rPr>
              <w:t>Important - Please Note</w:t>
            </w:r>
          </w:p>
          <w:p w:rsidR="00806086" w:rsidRDefault="00806086">
            <w:pPr>
              <w:tabs>
                <w:tab w:val="clear" w:pos="9000"/>
                <w:tab w:val="right" w:pos="9720"/>
              </w:tabs>
              <w:outlineLvl w:val="0"/>
              <w:rPr>
                <w:rFonts w:cs="Arial"/>
                <w:b/>
                <w:szCs w:val="24"/>
                <w:u w:val="single"/>
              </w:rPr>
            </w:pPr>
          </w:p>
          <w:p w:rsidR="00806086" w:rsidRDefault="008A508C">
            <w:pPr>
              <w:tabs>
                <w:tab w:val="clear" w:pos="9000"/>
                <w:tab w:val="right" w:pos="9720"/>
              </w:tabs>
              <w:outlineLvl w:val="0"/>
              <w:rPr>
                <w:rFonts w:cs="Arial"/>
                <w:b/>
                <w:szCs w:val="24"/>
              </w:rPr>
            </w:pPr>
            <w:r>
              <w:rPr>
                <w:rFonts w:cs="Arial"/>
                <w:b/>
                <w:szCs w:val="24"/>
              </w:rPr>
              <w:t>From April 2015, w</w:t>
            </w:r>
            <w:r w:rsidR="00806086">
              <w:rPr>
                <w:rFonts w:cs="Arial"/>
                <w:b/>
                <w:szCs w:val="24"/>
              </w:rPr>
              <w:t>hen allocating contribution rate</w:t>
            </w:r>
            <w:r w:rsidR="00827869">
              <w:rPr>
                <w:rFonts w:cs="Arial"/>
                <w:b/>
                <w:szCs w:val="24"/>
              </w:rPr>
              <w:t>s</w:t>
            </w:r>
            <w:r w:rsidR="00806086">
              <w:rPr>
                <w:rFonts w:cs="Arial"/>
                <w:b/>
                <w:szCs w:val="24"/>
              </w:rPr>
              <w:t xml:space="preserve"> to members, pensionable pay in this guidance means the </w:t>
            </w:r>
            <w:r>
              <w:rPr>
                <w:rFonts w:cs="Arial"/>
                <w:b/>
                <w:szCs w:val="24"/>
              </w:rPr>
              <w:t>actual</w:t>
            </w:r>
            <w:r w:rsidR="00806086">
              <w:rPr>
                <w:rFonts w:cs="Arial"/>
                <w:b/>
                <w:szCs w:val="24"/>
              </w:rPr>
              <w:t xml:space="preserve"> pensionable pay</w:t>
            </w:r>
            <w:r>
              <w:rPr>
                <w:rFonts w:cs="Arial"/>
                <w:b/>
                <w:szCs w:val="24"/>
              </w:rPr>
              <w:t>, regardless of hours worked</w:t>
            </w:r>
            <w:r w:rsidR="00806086">
              <w:rPr>
                <w:rFonts w:cs="Arial"/>
                <w:b/>
                <w:szCs w:val="24"/>
              </w:rPr>
              <w:t xml:space="preserve">. When deducting contributions from members, those contributions will be deducted from the actual </w:t>
            </w:r>
            <w:r>
              <w:rPr>
                <w:rFonts w:cs="Arial"/>
                <w:b/>
                <w:szCs w:val="24"/>
              </w:rPr>
              <w:t xml:space="preserve">pensionable </w:t>
            </w:r>
            <w:r w:rsidR="00806086">
              <w:rPr>
                <w:rFonts w:cs="Arial"/>
                <w:b/>
                <w:szCs w:val="24"/>
              </w:rPr>
              <w:t xml:space="preserve">pay received. </w:t>
            </w:r>
          </w:p>
          <w:p w:rsidR="00806086" w:rsidRDefault="00806086">
            <w:pPr>
              <w:tabs>
                <w:tab w:val="clear" w:pos="9000"/>
                <w:tab w:val="right" w:pos="9720"/>
              </w:tabs>
              <w:outlineLvl w:val="0"/>
              <w:rPr>
                <w:rFonts w:cs="Arial"/>
                <w:b/>
                <w:szCs w:val="24"/>
              </w:rPr>
            </w:pPr>
          </w:p>
          <w:p w:rsidR="00806086" w:rsidRDefault="00806086">
            <w:pPr>
              <w:tabs>
                <w:tab w:val="clear" w:pos="9000"/>
                <w:tab w:val="right" w:pos="9720"/>
              </w:tabs>
              <w:outlineLvl w:val="0"/>
              <w:rPr>
                <w:rFonts w:cs="Arial"/>
                <w:b/>
                <w:szCs w:val="24"/>
              </w:rPr>
            </w:pPr>
            <w:r>
              <w:rPr>
                <w:rFonts w:cs="Arial"/>
                <w:b/>
                <w:szCs w:val="24"/>
              </w:rPr>
              <w:t>This guidance also appli</w:t>
            </w:r>
            <w:r w:rsidR="00C85013">
              <w:rPr>
                <w:rFonts w:cs="Arial"/>
                <w:b/>
                <w:szCs w:val="24"/>
              </w:rPr>
              <w:t>es</w:t>
            </w:r>
            <w:r>
              <w:rPr>
                <w:rFonts w:cs="Arial"/>
                <w:b/>
                <w:szCs w:val="24"/>
              </w:rPr>
              <w:t xml:space="preserve"> to Councillor members</w:t>
            </w:r>
            <w:r w:rsidR="00C85013">
              <w:rPr>
                <w:rFonts w:cs="Arial"/>
                <w:b/>
                <w:szCs w:val="24"/>
              </w:rPr>
              <w:t xml:space="preserve"> by substituting ‘pensionable pay’ as appropriate in accordance with scheme regulations.</w:t>
            </w:r>
          </w:p>
          <w:p w:rsidR="00806086" w:rsidRDefault="00806086">
            <w:pPr>
              <w:tabs>
                <w:tab w:val="clear" w:pos="9000"/>
                <w:tab w:val="right" w:pos="9720"/>
              </w:tabs>
              <w:outlineLvl w:val="0"/>
              <w:rPr>
                <w:rFonts w:cs="Arial"/>
                <w:b/>
                <w:szCs w:val="24"/>
              </w:rPr>
            </w:pPr>
          </w:p>
        </w:tc>
      </w:tr>
    </w:tbl>
    <w:p w:rsidR="00806086" w:rsidRDefault="00806086">
      <w:pPr>
        <w:tabs>
          <w:tab w:val="clear" w:pos="9000"/>
          <w:tab w:val="right" w:pos="9720"/>
        </w:tabs>
        <w:outlineLvl w:val="0"/>
        <w:rPr>
          <w:rFonts w:cs="Arial"/>
          <w:szCs w:val="24"/>
        </w:rPr>
      </w:pPr>
    </w:p>
    <w:p w:rsidR="00806086" w:rsidRDefault="00806086">
      <w:pPr>
        <w:tabs>
          <w:tab w:val="clear" w:pos="9000"/>
          <w:tab w:val="right" w:pos="9720"/>
        </w:tabs>
        <w:outlineLvl w:val="0"/>
        <w:rPr>
          <w:rFonts w:cs="Arial"/>
          <w:szCs w:val="24"/>
        </w:rPr>
      </w:pPr>
    </w:p>
    <w:p w:rsidR="00806086" w:rsidRDefault="00806086">
      <w:pPr>
        <w:tabs>
          <w:tab w:val="clear" w:pos="720"/>
          <w:tab w:val="clear" w:pos="9000"/>
          <w:tab w:val="left" w:pos="528"/>
          <w:tab w:val="right" w:pos="9720"/>
        </w:tabs>
        <w:outlineLvl w:val="0"/>
        <w:rPr>
          <w:rFonts w:cs="Arial"/>
          <w:b/>
          <w:szCs w:val="24"/>
          <w:u w:val="single"/>
        </w:rPr>
      </w:pPr>
      <w:r>
        <w:rPr>
          <w:rFonts w:cs="Arial"/>
          <w:b/>
          <w:szCs w:val="24"/>
        </w:rPr>
        <w:t>1.</w:t>
      </w:r>
      <w:r>
        <w:rPr>
          <w:rFonts w:cs="Arial"/>
          <w:b/>
          <w:szCs w:val="24"/>
        </w:rPr>
        <w:tab/>
      </w:r>
      <w:r>
        <w:rPr>
          <w:rFonts w:cs="Arial"/>
          <w:b/>
          <w:szCs w:val="24"/>
          <w:u w:val="single"/>
        </w:rPr>
        <w:t>Introduction</w:t>
      </w:r>
    </w:p>
    <w:p w:rsidR="00806086" w:rsidRDefault="00806086">
      <w:pPr>
        <w:tabs>
          <w:tab w:val="clear" w:pos="9000"/>
          <w:tab w:val="right" w:pos="9720"/>
        </w:tabs>
        <w:outlineLvl w:val="0"/>
        <w:rPr>
          <w:rFonts w:cs="Arial"/>
          <w:b/>
          <w:szCs w:val="24"/>
          <w:u w:val="single"/>
        </w:rPr>
      </w:pPr>
    </w:p>
    <w:p w:rsidR="00806086" w:rsidRDefault="00806086">
      <w:pPr>
        <w:tabs>
          <w:tab w:val="clear" w:pos="9000"/>
          <w:tab w:val="right" w:pos="9720"/>
        </w:tabs>
        <w:outlineLvl w:val="0"/>
        <w:rPr>
          <w:rFonts w:cs="Arial"/>
          <w:color w:val="008000"/>
          <w:szCs w:val="24"/>
          <w:lang w:val="en-US"/>
        </w:rPr>
      </w:pPr>
      <w:r>
        <w:rPr>
          <w:rFonts w:cs="Arial"/>
          <w:szCs w:val="24"/>
        </w:rPr>
        <w:t>Th</w:t>
      </w:r>
      <w:r w:rsidR="007F2B07">
        <w:rPr>
          <w:rFonts w:cs="Arial"/>
          <w:szCs w:val="24"/>
        </w:rPr>
        <w:t>is Appendix</w:t>
      </w:r>
      <w:r>
        <w:rPr>
          <w:rFonts w:cs="Arial"/>
          <w:szCs w:val="24"/>
        </w:rPr>
        <w:t xml:space="preserve"> gives </w:t>
      </w:r>
      <w:r w:rsidR="007F2B07">
        <w:rPr>
          <w:rFonts w:cs="Arial"/>
          <w:szCs w:val="24"/>
        </w:rPr>
        <w:t xml:space="preserve">further </w:t>
      </w:r>
      <w:r>
        <w:rPr>
          <w:rFonts w:cs="Arial"/>
          <w:szCs w:val="24"/>
        </w:rPr>
        <w:t>guidance to employers on how to assess the correct contribution rate for members. The guidance applies to active members of the Local Government Pension Scheme</w:t>
      </w:r>
      <w:r w:rsidR="000328C0">
        <w:rPr>
          <w:rFonts w:cs="Arial"/>
          <w:szCs w:val="24"/>
        </w:rPr>
        <w:t xml:space="preserve"> (LGPS)</w:t>
      </w:r>
      <w:r>
        <w:rPr>
          <w:rFonts w:cs="Arial"/>
          <w:szCs w:val="24"/>
        </w:rPr>
        <w:t xml:space="preserve"> from 1</w:t>
      </w:r>
      <w:r w:rsidR="004B4DA6">
        <w:rPr>
          <w:rFonts w:cs="Arial"/>
          <w:szCs w:val="24"/>
          <w:vertAlign w:val="superscript"/>
        </w:rPr>
        <w:t xml:space="preserve"> </w:t>
      </w:r>
      <w:r w:rsidR="004B4DA6">
        <w:rPr>
          <w:rFonts w:cs="Arial"/>
          <w:szCs w:val="24"/>
        </w:rPr>
        <w:t>April</w:t>
      </w:r>
      <w:r>
        <w:rPr>
          <w:rFonts w:cs="Arial"/>
          <w:szCs w:val="24"/>
        </w:rPr>
        <w:t xml:space="preserve"> </w:t>
      </w:r>
      <w:r w:rsidR="00661B87">
        <w:rPr>
          <w:rFonts w:cs="Arial"/>
          <w:szCs w:val="24"/>
        </w:rPr>
        <w:t>2017</w:t>
      </w:r>
      <w:r>
        <w:rPr>
          <w:rFonts w:cs="Arial"/>
          <w:szCs w:val="24"/>
        </w:rPr>
        <w:t xml:space="preserve">.  </w:t>
      </w:r>
    </w:p>
    <w:p w:rsidR="00806086" w:rsidRDefault="00806086">
      <w:pPr>
        <w:tabs>
          <w:tab w:val="clear" w:pos="9000"/>
          <w:tab w:val="right" w:pos="9720"/>
        </w:tabs>
        <w:outlineLvl w:val="0"/>
        <w:rPr>
          <w:rFonts w:cs="Arial"/>
          <w:color w:val="008000"/>
          <w:szCs w:val="24"/>
          <w:lang w:val="en-US"/>
        </w:rPr>
      </w:pPr>
    </w:p>
    <w:p w:rsidR="00806086" w:rsidRDefault="00806086">
      <w:pPr>
        <w:rPr>
          <w:rFonts w:cs="Arial"/>
          <w:szCs w:val="24"/>
          <w:lang w:eastAsia="en-US"/>
        </w:rPr>
      </w:pPr>
      <w:r>
        <w:rPr>
          <w:rFonts w:cs="Arial"/>
          <w:szCs w:val="24"/>
          <w:lang w:eastAsia="en-US"/>
        </w:rPr>
        <w:t xml:space="preserve">Contributions are determined according to the level of a member’s </w:t>
      </w:r>
      <w:r w:rsidR="008A508C">
        <w:rPr>
          <w:rFonts w:cs="Arial"/>
          <w:szCs w:val="24"/>
          <w:lang w:eastAsia="en-US"/>
        </w:rPr>
        <w:t>actual</w:t>
      </w:r>
      <w:r>
        <w:rPr>
          <w:rFonts w:cs="Arial"/>
          <w:szCs w:val="24"/>
          <w:lang w:eastAsia="en-US"/>
        </w:rPr>
        <w:t xml:space="preserve"> pensionable pay</w:t>
      </w:r>
      <w:r w:rsidR="00C816F3">
        <w:rPr>
          <w:rFonts w:cs="Arial"/>
          <w:szCs w:val="24"/>
          <w:lang w:eastAsia="en-US"/>
        </w:rPr>
        <w:t>. Pensionable pay is defined in scheme regulations</w:t>
      </w:r>
      <w:r w:rsidR="002027D4">
        <w:rPr>
          <w:rFonts w:cs="Arial"/>
          <w:szCs w:val="24"/>
          <w:lang w:eastAsia="en-US"/>
        </w:rPr>
        <w:t xml:space="preserve"> and </w:t>
      </w:r>
      <w:r w:rsidR="008D02D0">
        <w:rPr>
          <w:rFonts w:cs="Arial"/>
          <w:szCs w:val="24"/>
          <w:lang w:eastAsia="en-US"/>
        </w:rPr>
        <w:t xml:space="preserve">is </w:t>
      </w:r>
      <w:r w:rsidR="002027D4">
        <w:rPr>
          <w:rFonts w:cs="Arial"/>
          <w:szCs w:val="24"/>
          <w:lang w:eastAsia="en-US"/>
        </w:rPr>
        <w:t>explained further in section 4.1 of the Payroll Guide</w:t>
      </w:r>
      <w:r w:rsidR="00C816F3">
        <w:rPr>
          <w:rFonts w:cs="Arial"/>
          <w:szCs w:val="24"/>
          <w:lang w:eastAsia="en-US"/>
        </w:rPr>
        <w:t>.</w:t>
      </w:r>
      <w:r w:rsidR="00B97107">
        <w:rPr>
          <w:rFonts w:cs="Arial"/>
          <w:szCs w:val="24"/>
          <w:lang w:eastAsia="en-US"/>
        </w:rPr>
        <w:t xml:space="preserve"> Further information on employee contributions, including a ‘50/50 section’ is in section 5.</w:t>
      </w:r>
      <w:r w:rsidR="000328C0">
        <w:rPr>
          <w:rFonts w:cs="Arial"/>
          <w:szCs w:val="24"/>
          <w:lang w:eastAsia="en-US"/>
        </w:rPr>
        <w:t>1</w:t>
      </w:r>
      <w:r w:rsidR="00B97107">
        <w:rPr>
          <w:rFonts w:cs="Arial"/>
          <w:szCs w:val="24"/>
          <w:lang w:eastAsia="en-US"/>
        </w:rPr>
        <w:t xml:space="preserve"> of the Payroll Guide. </w:t>
      </w:r>
    </w:p>
    <w:p w:rsidR="00806086" w:rsidRDefault="00806086">
      <w:pPr>
        <w:rPr>
          <w:rFonts w:cs="Arial"/>
          <w:szCs w:val="24"/>
          <w:lang w:eastAsia="en-US"/>
        </w:rPr>
      </w:pPr>
    </w:p>
    <w:p w:rsidR="00F9208E" w:rsidRDefault="00581162">
      <w:pPr>
        <w:rPr>
          <w:rFonts w:cs="Arial"/>
          <w:szCs w:val="24"/>
          <w:lang w:eastAsia="en-US"/>
        </w:rPr>
      </w:pPr>
      <w:r>
        <w:rPr>
          <w:rFonts w:cs="Arial"/>
          <w:szCs w:val="24"/>
          <w:lang w:eastAsia="en-US"/>
        </w:rPr>
        <w:t>LGPS regulations require</w:t>
      </w:r>
      <w:r w:rsidR="00806086">
        <w:rPr>
          <w:rFonts w:cs="Arial"/>
          <w:szCs w:val="24"/>
          <w:lang w:eastAsia="en-US"/>
        </w:rPr>
        <w:t xml:space="preserve"> that contribution rates are applied </w:t>
      </w:r>
      <w:r w:rsidR="00A71547">
        <w:rPr>
          <w:rFonts w:cs="Arial"/>
          <w:szCs w:val="24"/>
          <w:lang w:eastAsia="en-US"/>
        </w:rPr>
        <w:t>according to</w:t>
      </w:r>
      <w:r w:rsidR="00806086">
        <w:rPr>
          <w:rFonts w:cs="Arial"/>
          <w:szCs w:val="24"/>
          <w:lang w:eastAsia="en-US"/>
        </w:rPr>
        <w:t xml:space="preserve"> </w:t>
      </w:r>
      <w:r w:rsidR="00A71547">
        <w:rPr>
          <w:rFonts w:cs="Arial"/>
          <w:szCs w:val="24"/>
          <w:lang w:eastAsia="en-US"/>
        </w:rPr>
        <w:t xml:space="preserve">ranges of pay bands (or </w:t>
      </w:r>
      <w:r w:rsidR="00806086">
        <w:rPr>
          <w:rFonts w:cs="Arial"/>
          <w:szCs w:val="24"/>
          <w:lang w:eastAsia="en-US"/>
        </w:rPr>
        <w:t>tiers</w:t>
      </w:r>
      <w:r w:rsidR="00A71547">
        <w:rPr>
          <w:rFonts w:cs="Arial"/>
          <w:szCs w:val="24"/>
          <w:lang w:eastAsia="en-US"/>
        </w:rPr>
        <w:t>)</w:t>
      </w:r>
      <w:r w:rsidR="00806086">
        <w:rPr>
          <w:rFonts w:cs="Arial"/>
          <w:szCs w:val="24"/>
          <w:lang w:eastAsia="en-US"/>
        </w:rPr>
        <w:t xml:space="preserve"> </w:t>
      </w:r>
      <w:r w:rsidR="002027D4">
        <w:rPr>
          <w:rFonts w:cs="Arial"/>
          <w:szCs w:val="24"/>
          <w:lang w:eastAsia="en-US"/>
        </w:rPr>
        <w:t xml:space="preserve">rising </w:t>
      </w:r>
      <w:r w:rsidR="00806086">
        <w:rPr>
          <w:rFonts w:cs="Arial"/>
          <w:szCs w:val="24"/>
          <w:lang w:eastAsia="en-US"/>
        </w:rPr>
        <w:t>from 5.5% to 12% depending on the member’s rate of pensionable pay (see Table 1 of Annex C). Member</w:t>
      </w:r>
      <w:r w:rsidR="000D0691">
        <w:rPr>
          <w:rFonts w:cs="Arial"/>
          <w:szCs w:val="24"/>
          <w:lang w:eastAsia="en-US"/>
        </w:rPr>
        <w:t>s pay 5.5% on the first £</w:t>
      </w:r>
      <w:r w:rsidR="0083100C">
        <w:rPr>
          <w:rFonts w:cs="Arial"/>
          <w:szCs w:val="24"/>
          <w:lang w:eastAsia="en-US"/>
        </w:rPr>
        <w:t>20,</w:t>
      </w:r>
      <w:r w:rsidR="003253D5">
        <w:rPr>
          <w:rFonts w:cs="Arial"/>
          <w:szCs w:val="24"/>
          <w:lang w:eastAsia="en-US"/>
        </w:rPr>
        <w:t xml:space="preserve">500 </w:t>
      </w:r>
      <w:r w:rsidR="00806086">
        <w:rPr>
          <w:rFonts w:cs="Arial"/>
          <w:szCs w:val="24"/>
          <w:lang w:eastAsia="en-US"/>
        </w:rPr>
        <w:t>o</w:t>
      </w:r>
      <w:r w:rsidR="000D0691">
        <w:rPr>
          <w:rFonts w:cs="Arial"/>
          <w:szCs w:val="24"/>
          <w:lang w:eastAsia="en-US"/>
        </w:rPr>
        <w:t xml:space="preserve">f pay, 7.25% on pay </w:t>
      </w:r>
      <w:r w:rsidR="008D02D0">
        <w:rPr>
          <w:rFonts w:cs="Arial"/>
          <w:szCs w:val="24"/>
          <w:lang w:eastAsia="en-US"/>
        </w:rPr>
        <w:t xml:space="preserve">over </w:t>
      </w:r>
      <w:r w:rsidR="000D0691">
        <w:rPr>
          <w:rFonts w:cs="Arial"/>
          <w:szCs w:val="24"/>
          <w:lang w:eastAsia="en-US"/>
        </w:rPr>
        <w:t>£</w:t>
      </w:r>
      <w:r w:rsidR="0083100C">
        <w:rPr>
          <w:rFonts w:cs="Arial"/>
          <w:szCs w:val="24"/>
          <w:lang w:eastAsia="en-US"/>
        </w:rPr>
        <w:t>20,</w:t>
      </w:r>
      <w:r w:rsidR="003253D5">
        <w:rPr>
          <w:rFonts w:cs="Arial"/>
          <w:szCs w:val="24"/>
          <w:lang w:eastAsia="en-US"/>
        </w:rPr>
        <w:t xml:space="preserve">500 </w:t>
      </w:r>
      <w:r w:rsidR="008D02D0">
        <w:rPr>
          <w:rFonts w:cs="Arial"/>
          <w:szCs w:val="24"/>
          <w:lang w:eastAsia="en-US"/>
        </w:rPr>
        <w:t xml:space="preserve">up </w:t>
      </w:r>
      <w:r w:rsidR="00B15F94">
        <w:rPr>
          <w:rFonts w:cs="Arial"/>
          <w:szCs w:val="24"/>
          <w:lang w:eastAsia="en-US"/>
        </w:rPr>
        <w:t>to £</w:t>
      </w:r>
      <w:r w:rsidR="003253D5">
        <w:rPr>
          <w:rFonts w:cs="Arial"/>
          <w:szCs w:val="24"/>
          <w:lang w:eastAsia="en-US"/>
        </w:rPr>
        <w:t>25,000</w:t>
      </w:r>
      <w:r w:rsidR="00B15F94">
        <w:rPr>
          <w:rFonts w:cs="Arial"/>
          <w:szCs w:val="24"/>
          <w:lang w:eastAsia="en-US"/>
        </w:rPr>
        <w:t xml:space="preserve">, </w:t>
      </w:r>
      <w:r w:rsidR="00806086">
        <w:rPr>
          <w:rFonts w:cs="Arial"/>
          <w:szCs w:val="24"/>
          <w:lang w:eastAsia="en-US"/>
        </w:rPr>
        <w:t xml:space="preserve">and so on. </w:t>
      </w:r>
    </w:p>
    <w:p w:rsidR="00F9208E" w:rsidRDefault="00F9208E">
      <w:pPr>
        <w:rPr>
          <w:rFonts w:cs="Arial"/>
          <w:szCs w:val="24"/>
          <w:lang w:eastAsia="en-US"/>
        </w:rPr>
      </w:pPr>
    </w:p>
    <w:p w:rsidR="00806086" w:rsidRDefault="00806086">
      <w:pPr>
        <w:rPr>
          <w:rFonts w:cs="Arial"/>
          <w:szCs w:val="24"/>
          <w:lang w:eastAsia="en-US"/>
        </w:rPr>
      </w:pPr>
      <w:r>
        <w:rPr>
          <w:rFonts w:cs="Arial"/>
          <w:szCs w:val="24"/>
          <w:lang w:eastAsia="en-US"/>
        </w:rPr>
        <w:t xml:space="preserve">Using these tiers, it is possible to calculate an average contribution rate </w:t>
      </w:r>
      <w:r w:rsidR="000F01E1" w:rsidRPr="000F01E1">
        <w:rPr>
          <w:rFonts w:cs="Arial"/>
          <w:szCs w:val="24"/>
          <w:lang w:eastAsia="en-US"/>
        </w:rPr>
        <w:t xml:space="preserve">to one decimal place </w:t>
      </w:r>
      <w:r>
        <w:rPr>
          <w:rFonts w:cs="Arial"/>
          <w:szCs w:val="24"/>
          <w:lang w:eastAsia="en-US"/>
        </w:rPr>
        <w:t xml:space="preserve">for any given pensionable pay. Details of the average contribution rates to be used are shown in </w:t>
      </w:r>
      <w:r w:rsidR="002027D4">
        <w:rPr>
          <w:rFonts w:cs="Arial"/>
          <w:szCs w:val="24"/>
          <w:lang w:eastAsia="en-US"/>
        </w:rPr>
        <w:t>the “</w:t>
      </w:r>
      <w:r w:rsidR="008D02D0">
        <w:rPr>
          <w:rFonts w:cs="Arial"/>
          <w:szCs w:val="24"/>
          <w:lang w:eastAsia="en-US"/>
        </w:rPr>
        <w:t>l</w:t>
      </w:r>
      <w:r w:rsidR="002027D4">
        <w:rPr>
          <w:rFonts w:cs="Arial"/>
          <w:szCs w:val="24"/>
          <w:lang w:eastAsia="en-US"/>
        </w:rPr>
        <w:t xml:space="preserve">ookup” </w:t>
      </w:r>
      <w:r>
        <w:rPr>
          <w:rFonts w:cs="Arial"/>
          <w:szCs w:val="24"/>
          <w:lang w:eastAsia="en-US"/>
        </w:rPr>
        <w:t>Table 2 of Annex C.</w:t>
      </w:r>
    </w:p>
    <w:p w:rsidR="00806086" w:rsidRDefault="00806086">
      <w:pPr>
        <w:rPr>
          <w:rFonts w:cs="Arial"/>
          <w:szCs w:val="24"/>
          <w:lang w:eastAsia="en-US"/>
        </w:rPr>
      </w:pPr>
    </w:p>
    <w:p w:rsidR="00806086" w:rsidRDefault="00806086">
      <w:pPr>
        <w:rPr>
          <w:rFonts w:cs="Arial"/>
          <w:szCs w:val="24"/>
          <w:lang w:eastAsia="en-US"/>
        </w:rPr>
      </w:pPr>
      <w:r>
        <w:rPr>
          <w:rFonts w:cs="Arial"/>
          <w:szCs w:val="24"/>
          <w:lang w:eastAsia="en-US"/>
        </w:rPr>
        <w:t xml:space="preserve">It has been agreed that Employing Authorities will discharge their statutory obligation to set a member contribution rate </w:t>
      </w:r>
      <w:r w:rsidR="00860F4C">
        <w:rPr>
          <w:rFonts w:cs="Arial"/>
          <w:szCs w:val="24"/>
          <w:lang w:eastAsia="en-US"/>
        </w:rPr>
        <w:t>by</w:t>
      </w:r>
      <w:r>
        <w:rPr>
          <w:rFonts w:cs="Arial"/>
          <w:szCs w:val="24"/>
          <w:lang w:eastAsia="en-US"/>
        </w:rPr>
        <w:t xml:space="preserve"> deriv</w:t>
      </w:r>
      <w:r w:rsidR="00860F4C">
        <w:rPr>
          <w:rFonts w:cs="Arial"/>
          <w:szCs w:val="24"/>
          <w:lang w:eastAsia="en-US"/>
        </w:rPr>
        <w:t>ing</w:t>
      </w:r>
      <w:r>
        <w:rPr>
          <w:rFonts w:cs="Arial"/>
          <w:szCs w:val="24"/>
          <w:lang w:eastAsia="en-US"/>
        </w:rPr>
        <w:t xml:space="preserve"> the said contribution rate from the </w:t>
      </w:r>
      <w:r w:rsidR="00860F4C">
        <w:rPr>
          <w:rFonts w:cs="Arial"/>
          <w:szCs w:val="24"/>
          <w:lang w:eastAsia="en-US"/>
        </w:rPr>
        <w:t>bands of pay</w:t>
      </w:r>
      <w:r>
        <w:rPr>
          <w:rFonts w:cs="Arial"/>
          <w:szCs w:val="24"/>
          <w:lang w:eastAsia="en-US"/>
        </w:rPr>
        <w:t xml:space="preserve"> contained in Table 2 of Annex C.    </w:t>
      </w:r>
    </w:p>
    <w:p w:rsidR="00F9208E" w:rsidRDefault="00F9208E">
      <w:pPr>
        <w:rPr>
          <w:rFonts w:cs="Arial"/>
          <w:szCs w:val="24"/>
          <w:lang w:eastAsia="en-US"/>
        </w:rPr>
      </w:pPr>
    </w:p>
    <w:p w:rsidR="00806086" w:rsidRDefault="00806086">
      <w:pPr>
        <w:rPr>
          <w:rFonts w:cs="Arial"/>
          <w:szCs w:val="24"/>
          <w:lang w:eastAsia="en-US"/>
        </w:rPr>
      </w:pPr>
      <w:r>
        <w:rPr>
          <w:rFonts w:cs="Arial"/>
          <w:szCs w:val="24"/>
          <w:lang w:eastAsia="en-US"/>
        </w:rPr>
        <w:lastRenderedPageBreak/>
        <w:t xml:space="preserve">The contribution rate provided by Table 2 of Annex C should be determined according to the member’s </w:t>
      </w:r>
      <w:r w:rsidR="00161926">
        <w:rPr>
          <w:rFonts w:cs="Arial"/>
          <w:szCs w:val="24"/>
          <w:lang w:eastAsia="en-US"/>
        </w:rPr>
        <w:t>actual</w:t>
      </w:r>
      <w:r>
        <w:rPr>
          <w:rFonts w:cs="Arial"/>
          <w:szCs w:val="24"/>
          <w:lang w:eastAsia="en-US"/>
        </w:rPr>
        <w:t xml:space="preserve"> rate of pensionable pay on </w:t>
      </w:r>
      <w:r w:rsidR="00F36E4E">
        <w:rPr>
          <w:rFonts w:cs="Arial"/>
          <w:szCs w:val="24"/>
          <w:lang w:eastAsia="en-US"/>
        </w:rPr>
        <w:t>1st April</w:t>
      </w:r>
      <w:r>
        <w:rPr>
          <w:rFonts w:cs="Arial"/>
          <w:szCs w:val="24"/>
          <w:lang w:eastAsia="en-US"/>
        </w:rPr>
        <w:t xml:space="preserve"> (i.e. the pensionable pay </w:t>
      </w:r>
      <w:r w:rsidR="00533423">
        <w:rPr>
          <w:rFonts w:cs="Arial"/>
          <w:szCs w:val="24"/>
          <w:lang w:eastAsia="en-US"/>
        </w:rPr>
        <w:t xml:space="preserve">at the beginning of </w:t>
      </w:r>
      <w:r>
        <w:rPr>
          <w:rFonts w:cs="Arial"/>
          <w:szCs w:val="24"/>
          <w:lang w:eastAsia="en-US"/>
        </w:rPr>
        <w:t xml:space="preserve">the new </w:t>
      </w:r>
      <w:r w:rsidR="00E75DE6">
        <w:rPr>
          <w:rFonts w:cs="Arial"/>
          <w:szCs w:val="24"/>
          <w:lang w:eastAsia="en-US"/>
        </w:rPr>
        <w:t xml:space="preserve">scheme </w:t>
      </w:r>
      <w:r>
        <w:rPr>
          <w:rFonts w:cs="Arial"/>
          <w:szCs w:val="24"/>
          <w:lang w:eastAsia="en-US"/>
        </w:rPr>
        <w:t xml:space="preserve">year).  The rate will then </w:t>
      </w:r>
      <w:r w:rsidR="00CE2AB0">
        <w:rPr>
          <w:rFonts w:cs="Arial"/>
          <w:szCs w:val="24"/>
          <w:lang w:eastAsia="en-US"/>
        </w:rPr>
        <w:t xml:space="preserve">be </w:t>
      </w:r>
      <w:r>
        <w:rPr>
          <w:rFonts w:cs="Arial"/>
          <w:szCs w:val="24"/>
          <w:lang w:eastAsia="en-US"/>
        </w:rPr>
        <w:t>appl</w:t>
      </w:r>
      <w:r w:rsidR="00CE2AB0">
        <w:rPr>
          <w:rFonts w:cs="Arial"/>
          <w:szCs w:val="24"/>
          <w:lang w:eastAsia="en-US"/>
        </w:rPr>
        <w:t>ied in</w:t>
      </w:r>
      <w:r>
        <w:rPr>
          <w:rFonts w:cs="Arial"/>
          <w:szCs w:val="24"/>
          <w:lang w:eastAsia="en-US"/>
        </w:rPr>
        <w:t xml:space="preserve"> the forthcoming year</w:t>
      </w:r>
      <w:r w:rsidR="00E75DE6">
        <w:rPr>
          <w:rFonts w:cs="Arial"/>
          <w:szCs w:val="24"/>
          <w:lang w:eastAsia="en-US"/>
        </w:rPr>
        <w:t xml:space="preserve"> in accordance with 5(e) below</w:t>
      </w:r>
      <w:r>
        <w:rPr>
          <w:rFonts w:cs="Arial"/>
          <w:szCs w:val="24"/>
          <w:lang w:eastAsia="en-US"/>
        </w:rPr>
        <w:t xml:space="preserve">. </w:t>
      </w:r>
      <w:r w:rsidR="00B97107">
        <w:rPr>
          <w:rFonts w:cs="Arial"/>
          <w:szCs w:val="24"/>
          <w:lang w:eastAsia="en-US"/>
        </w:rPr>
        <w:t>These rates must be halved for 50/50 section members.</w:t>
      </w:r>
      <w:r w:rsidR="00010458">
        <w:rPr>
          <w:rFonts w:cs="Arial"/>
          <w:szCs w:val="24"/>
          <w:lang w:eastAsia="en-US"/>
        </w:rPr>
        <w:t>[Note that this will in some instances mean a rate defined to two decimal places]</w:t>
      </w:r>
    </w:p>
    <w:p w:rsidR="00806086" w:rsidRDefault="00806086">
      <w:pPr>
        <w:rPr>
          <w:rFonts w:cs="Arial"/>
          <w:szCs w:val="24"/>
          <w:lang w:eastAsia="en-US"/>
        </w:rPr>
      </w:pPr>
    </w:p>
    <w:p w:rsidR="00806086" w:rsidRDefault="00806086">
      <w:pPr>
        <w:rPr>
          <w:rFonts w:cs="Arial"/>
          <w:szCs w:val="24"/>
        </w:rPr>
      </w:pPr>
      <w:r>
        <w:rPr>
          <w:rFonts w:cs="Arial"/>
          <w:szCs w:val="24"/>
          <w:lang w:eastAsia="en-US"/>
        </w:rPr>
        <w:t>In assessing contribution rate</w:t>
      </w:r>
      <w:r w:rsidR="00860F4C">
        <w:rPr>
          <w:rFonts w:cs="Arial"/>
          <w:szCs w:val="24"/>
          <w:lang w:eastAsia="en-US"/>
        </w:rPr>
        <w:t>s</w:t>
      </w:r>
      <w:r>
        <w:rPr>
          <w:rFonts w:cs="Arial"/>
          <w:szCs w:val="24"/>
          <w:lang w:eastAsia="en-US"/>
        </w:rPr>
        <w:t xml:space="preserve"> for </w:t>
      </w:r>
      <w:r w:rsidR="000F01E1">
        <w:rPr>
          <w:rFonts w:cs="Arial"/>
          <w:szCs w:val="24"/>
          <w:lang w:eastAsia="en-US"/>
        </w:rPr>
        <w:t>all employees (i.e.</w:t>
      </w:r>
      <w:r w:rsidR="00860F4C">
        <w:rPr>
          <w:rFonts w:cs="Arial"/>
          <w:szCs w:val="24"/>
          <w:lang w:eastAsia="en-US"/>
        </w:rPr>
        <w:t xml:space="preserve"> including</w:t>
      </w:r>
      <w:r w:rsidR="000F01E1">
        <w:rPr>
          <w:rFonts w:cs="Arial"/>
          <w:szCs w:val="24"/>
          <w:lang w:eastAsia="en-US"/>
        </w:rPr>
        <w:t xml:space="preserve"> </w:t>
      </w:r>
      <w:r>
        <w:rPr>
          <w:rFonts w:cs="Arial"/>
          <w:szCs w:val="24"/>
          <w:lang w:eastAsia="en-US"/>
        </w:rPr>
        <w:t>part time</w:t>
      </w:r>
      <w:r w:rsidR="000F01E1">
        <w:rPr>
          <w:rFonts w:cs="Arial"/>
          <w:szCs w:val="24"/>
          <w:lang w:eastAsia="en-US"/>
        </w:rPr>
        <w:t>,</w:t>
      </w:r>
      <w:r>
        <w:rPr>
          <w:rFonts w:cs="Arial"/>
          <w:szCs w:val="24"/>
          <w:lang w:eastAsia="en-US"/>
        </w:rPr>
        <w:t xml:space="preserve"> </w:t>
      </w:r>
      <w:r w:rsidR="000F01E1">
        <w:rPr>
          <w:rFonts w:cs="Arial"/>
          <w:szCs w:val="24"/>
          <w:lang w:eastAsia="en-US"/>
        </w:rPr>
        <w:t>term time</w:t>
      </w:r>
      <w:r w:rsidR="0083100C">
        <w:rPr>
          <w:rFonts w:cs="Arial"/>
          <w:szCs w:val="24"/>
          <w:lang w:eastAsia="en-US"/>
        </w:rPr>
        <w:t>,</w:t>
      </w:r>
      <w:r>
        <w:rPr>
          <w:rFonts w:cs="Arial"/>
          <w:szCs w:val="24"/>
          <w:lang w:eastAsia="en-US"/>
        </w:rPr>
        <w:t xml:space="preserve"> voluntary term time</w:t>
      </w:r>
      <w:r w:rsidR="0083100C">
        <w:rPr>
          <w:rFonts w:cs="Arial"/>
          <w:szCs w:val="24"/>
          <w:lang w:eastAsia="en-US"/>
        </w:rPr>
        <w:t>, zero hours and casuals</w:t>
      </w:r>
      <w:r w:rsidR="000F01E1">
        <w:rPr>
          <w:rFonts w:cs="Arial"/>
          <w:szCs w:val="24"/>
          <w:lang w:eastAsia="en-US"/>
        </w:rPr>
        <w:t>)</w:t>
      </w:r>
      <w:r>
        <w:rPr>
          <w:rFonts w:cs="Arial"/>
          <w:szCs w:val="24"/>
          <w:lang w:eastAsia="en-US"/>
        </w:rPr>
        <w:t xml:space="preserve">, the </w:t>
      </w:r>
      <w:r>
        <w:rPr>
          <w:rFonts w:cs="Arial"/>
          <w:szCs w:val="24"/>
        </w:rPr>
        <w:t xml:space="preserve">pensionable pay to be used in Table 2 of Annex C must be the member’s </w:t>
      </w:r>
      <w:r w:rsidR="00161926">
        <w:rPr>
          <w:rFonts w:cs="Arial"/>
          <w:szCs w:val="24"/>
        </w:rPr>
        <w:t xml:space="preserve">actual </w:t>
      </w:r>
      <w:r w:rsidR="0083100C">
        <w:rPr>
          <w:rFonts w:cs="Arial"/>
          <w:szCs w:val="24"/>
        </w:rPr>
        <w:t xml:space="preserve">pensionable </w:t>
      </w:r>
      <w:r w:rsidR="00161926">
        <w:rPr>
          <w:rFonts w:cs="Arial"/>
          <w:szCs w:val="24"/>
        </w:rPr>
        <w:t>pay</w:t>
      </w:r>
      <w:r w:rsidR="000F01E1">
        <w:rPr>
          <w:rFonts w:cs="Arial"/>
          <w:szCs w:val="24"/>
        </w:rPr>
        <w:t xml:space="preserve"> rather than a full-time equivalent rate of </w:t>
      </w:r>
      <w:r w:rsidR="0083100C">
        <w:rPr>
          <w:rFonts w:cs="Arial"/>
          <w:szCs w:val="24"/>
        </w:rPr>
        <w:t xml:space="preserve">pensionable </w:t>
      </w:r>
      <w:r w:rsidR="000F01E1">
        <w:rPr>
          <w:rFonts w:cs="Arial"/>
          <w:szCs w:val="24"/>
        </w:rPr>
        <w:t>pay</w:t>
      </w:r>
      <w:r w:rsidR="00860F4C">
        <w:rPr>
          <w:rFonts w:cs="Arial"/>
          <w:szCs w:val="24"/>
        </w:rPr>
        <w:t xml:space="preserve">. </w:t>
      </w:r>
    </w:p>
    <w:p w:rsidR="000F01E1" w:rsidRDefault="000F01E1">
      <w:pPr>
        <w:rPr>
          <w:rFonts w:cs="Arial"/>
          <w:szCs w:val="24"/>
        </w:rPr>
      </w:pPr>
    </w:p>
    <w:p w:rsidR="00C85013" w:rsidRDefault="00C85013" w:rsidP="00C85013">
      <w:pPr>
        <w:rPr>
          <w:rFonts w:cs="Arial"/>
          <w:szCs w:val="24"/>
          <w:lang w:eastAsia="en-US"/>
        </w:rPr>
      </w:pPr>
      <w:r>
        <w:rPr>
          <w:rFonts w:cs="Arial"/>
          <w:szCs w:val="24"/>
          <w:lang w:eastAsia="en-US"/>
        </w:rPr>
        <w:t>Tables 1 and 2 of Annex C will be updated annually by SPPA.</w:t>
      </w:r>
    </w:p>
    <w:p w:rsidR="00806086" w:rsidRDefault="00806086">
      <w:pPr>
        <w:rPr>
          <w:rFonts w:cs="Arial"/>
          <w:szCs w:val="24"/>
        </w:rPr>
      </w:pPr>
    </w:p>
    <w:p w:rsidR="00806086" w:rsidRDefault="00806086">
      <w:pPr>
        <w:tabs>
          <w:tab w:val="clear" w:pos="9000"/>
          <w:tab w:val="right" w:pos="9720"/>
        </w:tabs>
        <w:outlineLvl w:val="0"/>
        <w:rPr>
          <w:rFonts w:cs="Arial"/>
          <w:szCs w:val="24"/>
          <w:lang w:eastAsia="en-US"/>
        </w:rPr>
      </w:pPr>
      <w:r>
        <w:rPr>
          <w:rFonts w:cs="Arial"/>
          <w:szCs w:val="24"/>
          <w:lang w:eastAsia="en-US"/>
        </w:rPr>
        <w:t xml:space="preserve">Employing authorities </w:t>
      </w:r>
      <w:r w:rsidR="00860F4C">
        <w:rPr>
          <w:rFonts w:cs="Arial"/>
          <w:szCs w:val="24"/>
          <w:lang w:eastAsia="en-US"/>
        </w:rPr>
        <w:t>must</w:t>
      </w:r>
      <w:r>
        <w:rPr>
          <w:rFonts w:cs="Arial"/>
          <w:szCs w:val="24"/>
          <w:lang w:eastAsia="en-US"/>
        </w:rPr>
        <w:t xml:space="preserve"> set contribution rate</w:t>
      </w:r>
      <w:r w:rsidR="00860F4C">
        <w:rPr>
          <w:rFonts w:cs="Arial"/>
          <w:szCs w:val="24"/>
          <w:lang w:eastAsia="en-US"/>
        </w:rPr>
        <w:t>s</w:t>
      </w:r>
      <w:r>
        <w:rPr>
          <w:rFonts w:cs="Arial"/>
          <w:szCs w:val="24"/>
          <w:lang w:eastAsia="en-US"/>
        </w:rPr>
        <w:t xml:space="preserve"> annually for each member. Members joining for the first time or part way through any year will have their contribution rate for the remainder of that year based on their rate of pensionable pay on joining the scheme.</w:t>
      </w:r>
    </w:p>
    <w:p w:rsidR="00806086" w:rsidRDefault="00806086">
      <w:pPr>
        <w:tabs>
          <w:tab w:val="clear" w:pos="9000"/>
          <w:tab w:val="right" w:pos="9720"/>
        </w:tabs>
        <w:outlineLvl w:val="0"/>
        <w:rPr>
          <w:rFonts w:cs="Arial"/>
          <w:szCs w:val="24"/>
          <w:lang w:eastAsia="en-US"/>
        </w:rPr>
      </w:pPr>
    </w:p>
    <w:p w:rsidR="00806086" w:rsidRDefault="00806086">
      <w:pPr>
        <w:tabs>
          <w:tab w:val="clear" w:pos="9000"/>
          <w:tab w:val="right" w:pos="9720"/>
        </w:tabs>
        <w:outlineLvl w:val="0"/>
        <w:rPr>
          <w:rFonts w:cs="Arial"/>
          <w:szCs w:val="24"/>
          <w:lang w:eastAsia="en-US"/>
        </w:rPr>
      </w:pPr>
      <w:r>
        <w:rPr>
          <w:rFonts w:cs="Arial"/>
          <w:szCs w:val="24"/>
          <w:lang w:eastAsia="en-US"/>
        </w:rPr>
        <w:t xml:space="preserve">The remainder of this </w:t>
      </w:r>
      <w:r w:rsidR="00A71547">
        <w:rPr>
          <w:rFonts w:cs="Arial"/>
          <w:szCs w:val="24"/>
          <w:lang w:eastAsia="en-US"/>
        </w:rPr>
        <w:t xml:space="preserve">appendix </w:t>
      </w:r>
      <w:r>
        <w:rPr>
          <w:rFonts w:cs="Arial"/>
          <w:szCs w:val="24"/>
          <w:lang w:eastAsia="en-US"/>
        </w:rPr>
        <w:t xml:space="preserve">explains how the contribution rate allocation should be administered in detail, including </w:t>
      </w:r>
      <w:r w:rsidR="00FB4BC5">
        <w:rPr>
          <w:rFonts w:cs="Arial"/>
          <w:szCs w:val="24"/>
          <w:lang w:eastAsia="en-US"/>
        </w:rPr>
        <w:t>non-straightforward</w:t>
      </w:r>
      <w:r>
        <w:rPr>
          <w:rFonts w:cs="Arial"/>
          <w:szCs w:val="24"/>
          <w:lang w:eastAsia="en-US"/>
        </w:rPr>
        <w:t xml:space="preserve"> cases. It is an employer responsibility under the Regulations to make the decision on the allocation of an appropriate rate. If a dispute arises however, the administering authority for the fund may be contacted for advice in arriving at a decision. </w:t>
      </w:r>
      <w:bookmarkStart w:id="0" w:name="_Toc187556858"/>
      <w:r>
        <w:rPr>
          <w:rFonts w:cs="Arial"/>
          <w:szCs w:val="24"/>
          <w:lang w:eastAsia="en-US"/>
        </w:rPr>
        <w:t xml:space="preserve">Ultimately if a person remains dissatisfied with their contribution rate, they can lodge an appeal under the Scheme’s appeal arrangements.  </w:t>
      </w:r>
    </w:p>
    <w:p w:rsidR="00806086" w:rsidRDefault="00806086">
      <w:pPr>
        <w:tabs>
          <w:tab w:val="clear" w:pos="9000"/>
          <w:tab w:val="right" w:pos="9720"/>
        </w:tabs>
        <w:outlineLvl w:val="0"/>
        <w:rPr>
          <w:rFonts w:cs="Arial"/>
          <w:szCs w:val="24"/>
          <w:lang w:eastAsia="en-US"/>
        </w:rPr>
      </w:pPr>
    </w:p>
    <w:p w:rsidR="00806086" w:rsidRDefault="00806086">
      <w:pPr>
        <w:tabs>
          <w:tab w:val="clear" w:pos="720"/>
          <w:tab w:val="clear" w:pos="9000"/>
          <w:tab w:val="left" w:pos="480"/>
          <w:tab w:val="right" w:pos="9720"/>
        </w:tabs>
        <w:outlineLvl w:val="0"/>
        <w:rPr>
          <w:rFonts w:cs="Arial"/>
          <w:b/>
          <w:szCs w:val="24"/>
        </w:rPr>
      </w:pPr>
      <w:r>
        <w:rPr>
          <w:rFonts w:cs="Arial"/>
          <w:b/>
          <w:szCs w:val="24"/>
        </w:rPr>
        <w:t xml:space="preserve">2. </w:t>
      </w:r>
      <w:r>
        <w:rPr>
          <w:rFonts w:cs="Arial"/>
          <w:b/>
          <w:szCs w:val="24"/>
        </w:rPr>
        <w:tab/>
      </w:r>
      <w:r>
        <w:rPr>
          <w:rFonts w:cs="Arial"/>
          <w:b/>
          <w:szCs w:val="24"/>
          <w:u w:val="single"/>
        </w:rPr>
        <w:t xml:space="preserve">Tiered </w:t>
      </w:r>
      <w:r w:rsidR="00CE2AB0">
        <w:rPr>
          <w:rFonts w:cs="Arial"/>
          <w:b/>
          <w:szCs w:val="24"/>
          <w:u w:val="single"/>
        </w:rPr>
        <w:t>e</w:t>
      </w:r>
      <w:r>
        <w:rPr>
          <w:rFonts w:cs="Arial"/>
          <w:b/>
          <w:szCs w:val="24"/>
          <w:u w:val="single"/>
        </w:rPr>
        <w:t xml:space="preserve">mployee </w:t>
      </w:r>
      <w:r w:rsidR="00CE2AB0">
        <w:rPr>
          <w:rFonts w:cs="Arial"/>
          <w:b/>
          <w:szCs w:val="24"/>
          <w:u w:val="single"/>
        </w:rPr>
        <w:t>c</w:t>
      </w:r>
      <w:r>
        <w:rPr>
          <w:rFonts w:cs="Arial"/>
          <w:b/>
          <w:szCs w:val="24"/>
          <w:u w:val="single"/>
        </w:rPr>
        <w:t xml:space="preserve">ontribution </w:t>
      </w:r>
      <w:r w:rsidR="00CE2AB0">
        <w:rPr>
          <w:rFonts w:cs="Arial"/>
          <w:b/>
          <w:szCs w:val="24"/>
          <w:u w:val="single"/>
        </w:rPr>
        <w:t>r</w:t>
      </w:r>
      <w:r>
        <w:rPr>
          <w:rFonts w:cs="Arial"/>
          <w:b/>
          <w:szCs w:val="24"/>
          <w:u w:val="single"/>
        </w:rPr>
        <w:t>ates</w:t>
      </w:r>
      <w:bookmarkEnd w:id="0"/>
    </w:p>
    <w:p w:rsidR="00806086" w:rsidRDefault="00806086">
      <w:pPr>
        <w:tabs>
          <w:tab w:val="clear" w:pos="9000"/>
          <w:tab w:val="right" w:pos="9720"/>
        </w:tabs>
        <w:outlineLvl w:val="0"/>
        <w:rPr>
          <w:rFonts w:cs="Arial"/>
          <w:szCs w:val="24"/>
        </w:rPr>
      </w:pPr>
    </w:p>
    <w:p w:rsidR="00806086" w:rsidRDefault="00806086">
      <w:pPr>
        <w:pStyle w:val="CharCharCharCha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u w:val="single"/>
          <w:lang w:val="en-GB" w:eastAsia="en-GB"/>
        </w:rPr>
      </w:pPr>
      <w:bookmarkStart w:id="1" w:name="_Toc187556859"/>
      <w:r>
        <w:rPr>
          <w:rFonts w:ascii="Arial" w:hAnsi="Arial" w:cs="Arial"/>
          <w:sz w:val="24"/>
          <w:szCs w:val="24"/>
          <w:u w:val="single"/>
          <w:lang w:val="en-GB" w:eastAsia="en-GB"/>
        </w:rPr>
        <w:t>Contribution Rates Table</w:t>
      </w:r>
      <w:bookmarkEnd w:id="1"/>
    </w:p>
    <w:p w:rsidR="00806086" w:rsidRDefault="00806086">
      <w:pPr>
        <w:pStyle w:val="CharCharCharChar"/>
        <w:tabs>
          <w:tab w:val="left" w:pos="720"/>
          <w:tab w:val="left" w:pos="1440"/>
          <w:tab w:val="left" w:pos="2160"/>
          <w:tab w:val="left" w:pos="2880"/>
          <w:tab w:val="left" w:pos="4680"/>
          <w:tab w:val="left" w:pos="5400"/>
          <w:tab w:val="right" w:pos="9000"/>
        </w:tabs>
        <w:spacing w:after="0" w:line="240" w:lineRule="auto"/>
        <w:rPr>
          <w:rFonts w:ascii="Arial" w:hAnsi="Arial" w:cs="Arial"/>
          <w:sz w:val="24"/>
          <w:szCs w:val="24"/>
          <w:lang w:val="en-GB" w:eastAsia="en-GB"/>
        </w:rPr>
      </w:pPr>
    </w:p>
    <w:p w:rsidR="00806086" w:rsidRDefault="00806086">
      <w:pPr>
        <w:rPr>
          <w:rFonts w:cs="Arial"/>
          <w:szCs w:val="24"/>
        </w:rPr>
      </w:pPr>
      <w:r>
        <w:rPr>
          <w:rFonts w:cs="Arial"/>
          <w:szCs w:val="24"/>
        </w:rPr>
        <w:t xml:space="preserve">The table </w:t>
      </w:r>
      <w:r w:rsidR="000F01E1">
        <w:rPr>
          <w:rFonts w:cs="Arial"/>
          <w:szCs w:val="24"/>
        </w:rPr>
        <w:t xml:space="preserve">used </w:t>
      </w:r>
      <w:r>
        <w:rPr>
          <w:rFonts w:cs="Arial"/>
          <w:szCs w:val="24"/>
        </w:rPr>
        <w:t>for the a</w:t>
      </w:r>
      <w:r w:rsidR="000F01E1">
        <w:rPr>
          <w:rFonts w:cs="Arial"/>
          <w:szCs w:val="24"/>
        </w:rPr>
        <w:t>ssessment</w:t>
      </w:r>
      <w:r>
        <w:rPr>
          <w:rFonts w:cs="Arial"/>
          <w:szCs w:val="24"/>
        </w:rPr>
        <w:t xml:space="preserve"> of </w:t>
      </w:r>
      <w:r w:rsidR="000F01E1">
        <w:rPr>
          <w:rFonts w:cs="Arial"/>
          <w:szCs w:val="24"/>
        </w:rPr>
        <w:t xml:space="preserve">member </w:t>
      </w:r>
      <w:r>
        <w:rPr>
          <w:rFonts w:cs="Arial"/>
          <w:szCs w:val="24"/>
        </w:rPr>
        <w:t xml:space="preserve">contribution rates is included at Table 1 of Annex C. </w:t>
      </w:r>
    </w:p>
    <w:p w:rsidR="00806086" w:rsidRDefault="00806086">
      <w:pPr>
        <w:rPr>
          <w:rFonts w:cs="Arial"/>
          <w:szCs w:val="24"/>
        </w:rPr>
      </w:pPr>
    </w:p>
    <w:p w:rsidR="00806086" w:rsidRDefault="00806086">
      <w:pPr>
        <w:pStyle w:val="BidBodyText"/>
        <w:tabs>
          <w:tab w:val="clear" w:pos="567"/>
          <w:tab w:val="clear" w:pos="1701"/>
          <w:tab w:val="num" w:pos="0"/>
          <w:tab w:val="left" w:pos="456"/>
        </w:tabs>
        <w:ind w:left="0"/>
        <w:jc w:val="left"/>
        <w:rPr>
          <w:rFonts w:cs="Arial"/>
          <w:b/>
          <w:sz w:val="24"/>
          <w:szCs w:val="24"/>
        </w:rPr>
      </w:pPr>
      <w:r>
        <w:rPr>
          <w:rFonts w:cs="Arial"/>
          <w:b/>
          <w:sz w:val="24"/>
          <w:szCs w:val="24"/>
        </w:rPr>
        <w:t>3.</w:t>
      </w:r>
      <w:r>
        <w:rPr>
          <w:rFonts w:cs="Arial"/>
          <w:b/>
          <w:sz w:val="24"/>
          <w:szCs w:val="24"/>
        </w:rPr>
        <w:tab/>
        <w:t xml:space="preserve"> </w:t>
      </w:r>
      <w:r>
        <w:rPr>
          <w:rFonts w:cs="Arial"/>
          <w:b/>
          <w:sz w:val="24"/>
          <w:szCs w:val="24"/>
          <w:u w:val="single"/>
        </w:rPr>
        <w:t xml:space="preserve">Updates to the </w:t>
      </w:r>
      <w:r w:rsidR="00CE2AB0">
        <w:rPr>
          <w:rFonts w:cs="Arial"/>
          <w:b/>
          <w:sz w:val="24"/>
          <w:szCs w:val="24"/>
          <w:u w:val="single"/>
        </w:rPr>
        <w:t>c</w:t>
      </w:r>
      <w:r>
        <w:rPr>
          <w:rFonts w:cs="Arial"/>
          <w:b/>
          <w:sz w:val="24"/>
          <w:szCs w:val="24"/>
          <w:u w:val="single"/>
        </w:rPr>
        <w:t xml:space="preserve">ontribution </w:t>
      </w:r>
      <w:r w:rsidR="00CE2AB0">
        <w:rPr>
          <w:rFonts w:cs="Arial"/>
          <w:b/>
          <w:sz w:val="24"/>
          <w:szCs w:val="24"/>
          <w:u w:val="single"/>
        </w:rPr>
        <w:t>r</w:t>
      </w:r>
      <w:r>
        <w:rPr>
          <w:rFonts w:cs="Arial"/>
          <w:b/>
          <w:sz w:val="24"/>
          <w:szCs w:val="24"/>
          <w:u w:val="single"/>
        </w:rPr>
        <w:t xml:space="preserve">ates </w:t>
      </w:r>
      <w:r w:rsidR="00CE2AB0">
        <w:rPr>
          <w:rFonts w:cs="Arial"/>
          <w:b/>
          <w:sz w:val="24"/>
          <w:szCs w:val="24"/>
          <w:u w:val="single"/>
        </w:rPr>
        <w:t>t</w:t>
      </w:r>
      <w:r>
        <w:rPr>
          <w:rFonts w:cs="Arial"/>
          <w:b/>
          <w:sz w:val="24"/>
          <w:szCs w:val="24"/>
          <w:u w:val="single"/>
        </w:rPr>
        <w:t>able</w:t>
      </w:r>
    </w:p>
    <w:p w:rsidR="00806086" w:rsidRDefault="00806086">
      <w:pPr>
        <w:pStyle w:val="BidBodyText"/>
        <w:tabs>
          <w:tab w:val="clear" w:pos="567"/>
          <w:tab w:val="num" w:pos="0"/>
        </w:tabs>
        <w:ind w:left="0"/>
        <w:jc w:val="left"/>
        <w:rPr>
          <w:rFonts w:cs="Arial"/>
          <w:sz w:val="24"/>
          <w:szCs w:val="24"/>
        </w:rPr>
      </w:pPr>
      <w:r>
        <w:rPr>
          <w:rFonts w:cs="Arial"/>
          <w:sz w:val="24"/>
          <w:szCs w:val="24"/>
        </w:rPr>
        <w:t xml:space="preserve">The table will be updated in line with Pensions Increase legislation on an annual basis by the </w:t>
      </w:r>
      <w:bookmarkStart w:id="2" w:name="_Toc187556861"/>
      <w:r>
        <w:rPr>
          <w:rFonts w:cs="Arial"/>
          <w:sz w:val="24"/>
          <w:szCs w:val="24"/>
        </w:rPr>
        <w:t xml:space="preserve">Scottish Public Pensions Agency (SPPA). </w:t>
      </w:r>
      <w:r w:rsidR="00161926">
        <w:rPr>
          <w:rFonts w:cs="Arial"/>
          <w:sz w:val="24"/>
          <w:szCs w:val="24"/>
        </w:rPr>
        <w:t xml:space="preserve"> T</w:t>
      </w:r>
      <w:r>
        <w:rPr>
          <w:rFonts w:cs="Arial"/>
          <w:sz w:val="24"/>
          <w:szCs w:val="24"/>
        </w:rPr>
        <w:t xml:space="preserve">he update will be applicable from each new </w:t>
      </w:r>
      <w:r w:rsidR="00590BB4">
        <w:rPr>
          <w:rFonts w:cs="Arial"/>
          <w:sz w:val="24"/>
          <w:szCs w:val="24"/>
        </w:rPr>
        <w:t xml:space="preserve">scheme </w:t>
      </w:r>
      <w:r>
        <w:rPr>
          <w:rFonts w:cs="Arial"/>
          <w:sz w:val="24"/>
          <w:szCs w:val="24"/>
        </w:rPr>
        <w:t>year</w:t>
      </w:r>
      <w:r w:rsidR="00590BB4">
        <w:rPr>
          <w:rFonts w:cs="Arial"/>
          <w:sz w:val="24"/>
          <w:szCs w:val="24"/>
        </w:rPr>
        <w:t xml:space="preserve"> (but see 5(</w:t>
      </w:r>
      <w:r w:rsidR="0090152F">
        <w:rPr>
          <w:rFonts w:cs="Arial"/>
          <w:sz w:val="24"/>
          <w:szCs w:val="24"/>
        </w:rPr>
        <w:t>e</w:t>
      </w:r>
      <w:r w:rsidR="00590BB4">
        <w:rPr>
          <w:rFonts w:cs="Arial"/>
          <w:sz w:val="24"/>
          <w:szCs w:val="24"/>
        </w:rPr>
        <w:t>))</w:t>
      </w:r>
      <w:r>
        <w:rPr>
          <w:rFonts w:cs="Arial"/>
          <w:sz w:val="24"/>
          <w:szCs w:val="24"/>
        </w:rPr>
        <w:t>.</w:t>
      </w:r>
    </w:p>
    <w:p w:rsidR="00806086" w:rsidRDefault="00806086">
      <w:pPr>
        <w:pStyle w:val="BidBodyText"/>
        <w:tabs>
          <w:tab w:val="clear" w:pos="567"/>
          <w:tab w:val="num" w:pos="0"/>
        </w:tabs>
        <w:ind w:left="0"/>
        <w:jc w:val="left"/>
        <w:rPr>
          <w:rFonts w:cs="Arial"/>
          <w:b/>
          <w:sz w:val="24"/>
          <w:szCs w:val="24"/>
        </w:rPr>
      </w:pPr>
      <w:r>
        <w:rPr>
          <w:rFonts w:cs="Arial"/>
          <w:sz w:val="24"/>
          <w:szCs w:val="24"/>
        </w:rPr>
        <w:t>The annual update to Table 1 of Annex C will in turn affect the bandings</w:t>
      </w:r>
      <w:r w:rsidR="000F01E1">
        <w:rPr>
          <w:rFonts w:cs="Arial"/>
          <w:sz w:val="24"/>
          <w:szCs w:val="24"/>
        </w:rPr>
        <w:t xml:space="preserve"> i</w:t>
      </w:r>
      <w:r>
        <w:rPr>
          <w:rFonts w:cs="Arial"/>
          <w:sz w:val="24"/>
          <w:szCs w:val="24"/>
        </w:rPr>
        <w:t>n Table 2 of Annex C.  This table will also be maintained</w:t>
      </w:r>
      <w:r w:rsidR="000F01E1">
        <w:rPr>
          <w:rFonts w:cs="Arial"/>
          <w:sz w:val="24"/>
          <w:szCs w:val="24"/>
        </w:rPr>
        <w:t xml:space="preserve"> annually</w:t>
      </w:r>
      <w:r>
        <w:rPr>
          <w:rFonts w:cs="Arial"/>
          <w:sz w:val="24"/>
          <w:szCs w:val="24"/>
        </w:rPr>
        <w:t xml:space="preserve"> by SPPA. </w:t>
      </w:r>
    </w:p>
    <w:p w:rsidR="00806086" w:rsidRDefault="00806086">
      <w:pPr>
        <w:pStyle w:val="BidBodyText"/>
        <w:tabs>
          <w:tab w:val="clear" w:pos="567"/>
          <w:tab w:val="num" w:pos="0"/>
        </w:tabs>
        <w:ind w:left="0"/>
        <w:jc w:val="left"/>
        <w:rPr>
          <w:rFonts w:cs="Arial"/>
          <w:color w:val="000000"/>
          <w:sz w:val="24"/>
          <w:szCs w:val="24"/>
        </w:rPr>
      </w:pPr>
      <w:r>
        <w:rPr>
          <w:rFonts w:cs="Arial"/>
          <w:color w:val="000000"/>
          <w:sz w:val="24"/>
          <w:szCs w:val="24"/>
        </w:rPr>
        <w:t xml:space="preserve">Active members will have their contribution rate for the forthcoming year based on the </w:t>
      </w:r>
      <w:r w:rsidR="000F01E1">
        <w:rPr>
          <w:rFonts w:cs="Arial"/>
          <w:color w:val="000000"/>
          <w:sz w:val="24"/>
          <w:szCs w:val="24"/>
        </w:rPr>
        <w:t>bandings</w:t>
      </w:r>
      <w:r>
        <w:rPr>
          <w:rFonts w:cs="Arial"/>
          <w:color w:val="000000"/>
          <w:sz w:val="24"/>
          <w:szCs w:val="24"/>
        </w:rPr>
        <w:t xml:space="preserve"> in Table 1. New </w:t>
      </w:r>
      <w:r w:rsidR="00A95426">
        <w:rPr>
          <w:rFonts w:cs="Arial"/>
          <w:color w:val="000000"/>
          <w:sz w:val="24"/>
          <w:szCs w:val="24"/>
        </w:rPr>
        <w:t>member</w:t>
      </w:r>
      <w:r>
        <w:rPr>
          <w:rFonts w:cs="Arial"/>
          <w:color w:val="000000"/>
          <w:sz w:val="24"/>
          <w:szCs w:val="24"/>
        </w:rPr>
        <w:t xml:space="preserve">s who join the LGPS part way through any year must be </w:t>
      </w:r>
      <w:r w:rsidR="00A95426">
        <w:rPr>
          <w:rFonts w:cs="Arial"/>
          <w:color w:val="000000"/>
          <w:sz w:val="24"/>
          <w:szCs w:val="24"/>
        </w:rPr>
        <w:t>assigned</w:t>
      </w:r>
      <w:r>
        <w:rPr>
          <w:rFonts w:cs="Arial"/>
          <w:color w:val="000000"/>
          <w:sz w:val="24"/>
          <w:szCs w:val="24"/>
        </w:rPr>
        <w:t xml:space="preserve"> a contribution rate based on their rate of pensionable pay at date of joining (see 5(d)).  </w:t>
      </w:r>
    </w:p>
    <w:p w:rsidR="00806086" w:rsidRDefault="00806086">
      <w:pPr>
        <w:pStyle w:val="BidBodyText"/>
        <w:tabs>
          <w:tab w:val="clear" w:pos="567"/>
          <w:tab w:val="clear" w:pos="1701"/>
          <w:tab w:val="left" w:pos="552"/>
        </w:tabs>
        <w:ind w:left="0"/>
        <w:jc w:val="left"/>
        <w:rPr>
          <w:rFonts w:cs="Arial"/>
          <w:b/>
          <w:sz w:val="24"/>
          <w:szCs w:val="24"/>
        </w:rPr>
      </w:pPr>
      <w:r>
        <w:rPr>
          <w:rFonts w:cs="Arial"/>
          <w:b/>
          <w:sz w:val="24"/>
          <w:szCs w:val="24"/>
        </w:rPr>
        <w:t xml:space="preserve">4. </w:t>
      </w:r>
      <w:r>
        <w:rPr>
          <w:rFonts w:cs="Arial"/>
          <w:b/>
          <w:sz w:val="24"/>
          <w:szCs w:val="24"/>
        </w:rPr>
        <w:tab/>
      </w:r>
      <w:r>
        <w:rPr>
          <w:rFonts w:cs="Arial"/>
          <w:b/>
          <w:sz w:val="24"/>
          <w:szCs w:val="24"/>
          <w:u w:val="single"/>
        </w:rPr>
        <w:t xml:space="preserve">Operation of </w:t>
      </w:r>
      <w:r w:rsidR="00CE2AB0">
        <w:rPr>
          <w:rFonts w:cs="Arial"/>
          <w:b/>
          <w:sz w:val="24"/>
          <w:szCs w:val="24"/>
          <w:u w:val="single"/>
        </w:rPr>
        <w:t>t</w:t>
      </w:r>
      <w:r>
        <w:rPr>
          <w:rFonts w:cs="Arial"/>
          <w:b/>
          <w:sz w:val="24"/>
          <w:szCs w:val="24"/>
          <w:u w:val="single"/>
        </w:rPr>
        <w:t xml:space="preserve">iered </w:t>
      </w:r>
      <w:r w:rsidR="00CE2AB0">
        <w:rPr>
          <w:rFonts w:cs="Arial"/>
          <w:b/>
          <w:sz w:val="24"/>
          <w:szCs w:val="24"/>
          <w:u w:val="single"/>
        </w:rPr>
        <w:t>c</w:t>
      </w:r>
      <w:r>
        <w:rPr>
          <w:rFonts w:cs="Arial"/>
          <w:b/>
          <w:sz w:val="24"/>
          <w:szCs w:val="24"/>
          <w:u w:val="single"/>
        </w:rPr>
        <w:t xml:space="preserve">ontributions for </w:t>
      </w:r>
      <w:r w:rsidR="00CE2AB0">
        <w:rPr>
          <w:rFonts w:cs="Arial"/>
          <w:b/>
          <w:sz w:val="24"/>
          <w:szCs w:val="24"/>
          <w:u w:val="single"/>
        </w:rPr>
        <w:t>p</w:t>
      </w:r>
      <w:r>
        <w:rPr>
          <w:rFonts w:cs="Arial"/>
          <w:b/>
          <w:sz w:val="24"/>
          <w:szCs w:val="24"/>
          <w:u w:val="single"/>
        </w:rPr>
        <w:t xml:space="preserve">ayroll </w:t>
      </w:r>
      <w:r w:rsidR="00CE2AB0">
        <w:rPr>
          <w:rFonts w:cs="Arial"/>
          <w:b/>
          <w:sz w:val="24"/>
          <w:szCs w:val="24"/>
          <w:u w:val="single"/>
        </w:rPr>
        <w:t>p</w:t>
      </w:r>
      <w:r>
        <w:rPr>
          <w:rFonts w:cs="Arial"/>
          <w:b/>
          <w:sz w:val="24"/>
          <w:szCs w:val="24"/>
          <w:u w:val="single"/>
        </w:rPr>
        <w:t>urposes</w:t>
      </w:r>
    </w:p>
    <w:p w:rsidR="00806086" w:rsidRDefault="00806086">
      <w:pPr>
        <w:pStyle w:val="BidBodyText"/>
        <w:tabs>
          <w:tab w:val="clear" w:pos="567"/>
        </w:tabs>
        <w:ind w:left="0"/>
        <w:jc w:val="left"/>
        <w:rPr>
          <w:rFonts w:cs="Arial"/>
          <w:sz w:val="24"/>
          <w:szCs w:val="24"/>
        </w:rPr>
      </w:pPr>
      <w:r>
        <w:rPr>
          <w:rFonts w:cs="Arial"/>
          <w:sz w:val="24"/>
          <w:szCs w:val="24"/>
        </w:rPr>
        <w:t>The tiered contribution rate</w:t>
      </w:r>
      <w:r w:rsidR="00A95426">
        <w:rPr>
          <w:rFonts w:cs="Arial"/>
          <w:sz w:val="24"/>
          <w:szCs w:val="24"/>
        </w:rPr>
        <w:t xml:space="preserve"> ranges</w:t>
      </w:r>
      <w:r>
        <w:rPr>
          <w:rFonts w:cs="Arial"/>
          <w:sz w:val="24"/>
          <w:szCs w:val="24"/>
        </w:rPr>
        <w:t xml:space="preserve"> in Table 1 of Annex C have been used in</w:t>
      </w:r>
      <w:r w:rsidR="00A95426">
        <w:rPr>
          <w:rFonts w:cs="Arial"/>
          <w:sz w:val="24"/>
          <w:szCs w:val="24"/>
        </w:rPr>
        <w:t xml:space="preserve"> the calculation of pay bands shown in</w:t>
      </w:r>
      <w:r>
        <w:rPr>
          <w:rFonts w:cs="Arial"/>
          <w:sz w:val="24"/>
          <w:szCs w:val="24"/>
        </w:rPr>
        <w:t xml:space="preserve"> Table 2 of Annex C.  Table 2 is in effect a “lookup table” which breaks down the contribution rate</w:t>
      </w:r>
      <w:r w:rsidR="00A95426">
        <w:rPr>
          <w:rFonts w:cs="Arial"/>
          <w:sz w:val="24"/>
          <w:szCs w:val="24"/>
        </w:rPr>
        <w:t xml:space="preserve"> ranges</w:t>
      </w:r>
      <w:r>
        <w:rPr>
          <w:rFonts w:cs="Arial"/>
          <w:sz w:val="24"/>
          <w:szCs w:val="24"/>
        </w:rPr>
        <w:t xml:space="preserve"> from Table 1 into steps of 0.1% and allocates pay ranges to these steps to simplify the process of allocating </w:t>
      </w:r>
      <w:r w:rsidR="00860F4C">
        <w:rPr>
          <w:rFonts w:cs="Arial"/>
          <w:sz w:val="24"/>
          <w:szCs w:val="24"/>
        </w:rPr>
        <w:t xml:space="preserve">members’ </w:t>
      </w:r>
      <w:r>
        <w:rPr>
          <w:rFonts w:cs="Arial"/>
          <w:sz w:val="24"/>
          <w:szCs w:val="24"/>
        </w:rPr>
        <w:t xml:space="preserve">contribution rates </w:t>
      </w:r>
      <w:r w:rsidR="00860F4C">
        <w:rPr>
          <w:rFonts w:cs="Arial"/>
          <w:sz w:val="24"/>
          <w:szCs w:val="24"/>
        </w:rPr>
        <w:t>and for</w:t>
      </w:r>
      <w:r w:rsidR="00A95426">
        <w:rPr>
          <w:rFonts w:cs="Arial"/>
          <w:sz w:val="24"/>
          <w:szCs w:val="24"/>
        </w:rPr>
        <w:t xml:space="preserve"> the application of those rates when running payrolls</w:t>
      </w:r>
      <w:r>
        <w:rPr>
          <w:rFonts w:cs="Arial"/>
          <w:sz w:val="24"/>
          <w:szCs w:val="24"/>
        </w:rPr>
        <w:t xml:space="preserve">. Where pay </w:t>
      </w:r>
      <w:r>
        <w:rPr>
          <w:rFonts w:cs="Arial"/>
          <w:sz w:val="24"/>
          <w:szCs w:val="24"/>
        </w:rPr>
        <w:lastRenderedPageBreak/>
        <w:t xml:space="preserve">values exceed the </w:t>
      </w:r>
      <w:r w:rsidR="00143A93">
        <w:rPr>
          <w:rFonts w:cs="Arial"/>
          <w:sz w:val="24"/>
          <w:szCs w:val="24"/>
        </w:rPr>
        <w:t xml:space="preserve">maximum </w:t>
      </w:r>
      <w:r>
        <w:rPr>
          <w:rFonts w:cs="Arial"/>
          <w:sz w:val="24"/>
          <w:szCs w:val="24"/>
        </w:rPr>
        <w:t xml:space="preserve">included in </w:t>
      </w:r>
      <w:r w:rsidR="00161926">
        <w:rPr>
          <w:rFonts w:cs="Arial"/>
          <w:sz w:val="24"/>
          <w:szCs w:val="24"/>
        </w:rPr>
        <w:t>Table 2</w:t>
      </w:r>
      <w:r>
        <w:rPr>
          <w:rFonts w:cs="Arial"/>
          <w:sz w:val="24"/>
          <w:szCs w:val="24"/>
        </w:rPr>
        <w:t>, the appropriate administering authority must be contacted for guidance.</w:t>
      </w:r>
    </w:p>
    <w:p w:rsidR="00806086" w:rsidRDefault="00806086">
      <w:pPr>
        <w:pStyle w:val="BidBodyText"/>
        <w:tabs>
          <w:tab w:val="clear" w:pos="567"/>
        </w:tabs>
        <w:ind w:left="0"/>
        <w:jc w:val="left"/>
        <w:rPr>
          <w:rFonts w:cs="Arial"/>
          <w:sz w:val="24"/>
          <w:szCs w:val="24"/>
        </w:rPr>
      </w:pPr>
      <w:r>
        <w:rPr>
          <w:rFonts w:cs="Arial"/>
          <w:b/>
          <w:sz w:val="24"/>
          <w:szCs w:val="24"/>
          <w:u w:val="single"/>
        </w:rPr>
        <w:t>Note:</w:t>
      </w:r>
      <w:r>
        <w:rPr>
          <w:rFonts w:cs="Arial"/>
          <w:b/>
          <w:sz w:val="24"/>
          <w:szCs w:val="24"/>
        </w:rPr>
        <w:t xml:space="preserve">  </w:t>
      </w:r>
      <w:r>
        <w:rPr>
          <w:rFonts w:cs="Arial"/>
          <w:sz w:val="24"/>
          <w:szCs w:val="24"/>
        </w:rPr>
        <w:t xml:space="preserve">If your payroll uses hourly rates rather than annual amounts, you may need to convert the pay values in Table 2 to suit. In applying an average contribution rate for a member with “ad hoc” </w:t>
      </w:r>
      <w:r w:rsidR="00A14D8D">
        <w:rPr>
          <w:rFonts w:cs="Arial"/>
          <w:sz w:val="24"/>
          <w:szCs w:val="24"/>
        </w:rPr>
        <w:t xml:space="preserve">pensionable </w:t>
      </w:r>
      <w:r>
        <w:rPr>
          <w:rFonts w:cs="Arial"/>
          <w:sz w:val="24"/>
          <w:szCs w:val="24"/>
        </w:rPr>
        <w:t>allowances</w:t>
      </w:r>
      <w:r w:rsidR="00143A93">
        <w:rPr>
          <w:rFonts w:cs="Arial"/>
          <w:sz w:val="24"/>
          <w:szCs w:val="24"/>
        </w:rPr>
        <w:t xml:space="preserve"> or variable hours</w:t>
      </w:r>
      <w:r>
        <w:rPr>
          <w:rFonts w:cs="Arial"/>
          <w:sz w:val="24"/>
          <w:szCs w:val="24"/>
        </w:rPr>
        <w:t>, please refer to paragraph 5(c) below for guidance.</w:t>
      </w:r>
    </w:p>
    <w:p w:rsidR="00806086" w:rsidRDefault="00806086">
      <w:pPr>
        <w:pStyle w:val="Heading1"/>
        <w:keepNext/>
        <w:numPr>
          <w:ilvl w:val="0"/>
          <w:numId w:val="0"/>
        </w:numPr>
        <w:tabs>
          <w:tab w:val="clear" w:pos="720"/>
          <w:tab w:val="clear" w:pos="1440"/>
          <w:tab w:val="clear" w:pos="2160"/>
          <w:tab w:val="clear" w:pos="2880"/>
          <w:tab w:val="clear" w:pos="4680"/>
          <w:tab w:val="clear" w:pos="5400"/>
          <w:tab w:val="clear" w:pos="9000"/>
          <w:tab w:val="left" w:pos="543"/>
        </w:tabs>
        <w:spacing w:after="240"/>
        <w:rPr>
          <w:rFonts w:cs="Arial"/>
          <w:b/>
          <w:szCs w:val="24"/>
        </w:rPr>
      </w:pPr>
      <w:r>
        <w:rPr>
          <w:rFonts w:cs="Arial"/>
          <w:b/>
          <w:szCs w:val="24"/>
        </w:rPr>
        <w:t>5.</w:t>
      </w:r>
      <w:r>
        <w:rPr>
          <w:rFonts w:cs="Arial"/>
          <w:b/>
          <w:szCs w:val="24"/>
        </w:rPr>
        <w:tab/>
      </w:r>
      <w:r>
        <w:rPr>
          <w:rFonts w:cs="Arial"/>
          <w:b/>
          <w:szCs w:val="24"/>
          <w:u w:val="single"/>
        </w:rPr>
        <w:t xml:space="preserve">Allocation to </w:t>
      </w:r>
      <w:r w:rsidR="002D208A">
        <w:rPr>
          <w:rFonts w:cs="Arial"/>
          <w:b/>
          <w:szCs w:val="24"/>
          <w:u w:val="single"/>
        </w:rPr>
        <w:t xml:space="preserve">average </w:t>
      </w:r>
      <w:r w:rsidR="00CE2AB0">
        <w:rPr>
          <w:rFonts w:cs="Arial"/>
          <w:b/>
          <w:szCs w:val="24"/>
          <w:u w:val="single"/>
        </w:rPr>
        <w:t>c</w:t>
      </w:r>
      <w:r>
        <w:rPr>
          <w:rFonts w:cs="Arial"/>
          <w:b/>
          <w:szCs w:val="24"/>
          <w:u w:val="single"/>
        </w:rPr>
        <w:t xml:space="preserve">ontribution </w:t>
      </w:r>
      <w:r w:rsidR="00CE2AB0">
        <w:rPr>
          <w:rFonts w:cs="Arial"/>
          <w:b/>
          <w:szCs w:val="24"/>
          <w:u w:val="single"/>
        </w:rPr>
        <w:t>r</w:t>
      </w:r>
      <w:r>
        <w:rPr>
          <w:rFonts w:cs="Arial"/>
          <w:b/>
          <w:szCs w:val="24"/>
          <w:u w:val="single"/>
        </w:rPr>
        <w:t>ates</w:t>
      </w:r>
    </w:p>
    <w:p w:rsidR="00806086" w:rsidRDefault="00806086">
      <w:pPr>
        <w:pStyle w:val="StyleHeading211ptAuto"/>
        <w:ind w:left="0" w:firstLine="0"/>
        <w:rPr>
          <w:rFonts w:cs="Arial"/>
          <w:b w:val="0"/>
          <w:sz w:val="24"/>
          <w:szCs w:val="24"/>
          <w:u w:val="single"/>
        </w:rPr>
      </w:pPr>
      <w:bookmarkStart w:id="3" w:name="_Toc187556862"/>
      <w:r>
        <w:rPr>
          <w:rFonts w:cs="Arial"/>
          <w:b w:val="0"/>
          <w:sz w:val="24"/>
          <w:szCs w:val="24"/>
          <w:u w:val="single"/>
        </w:rPr>
        <w:t>General Principles</w:t>
      </w:r>
      <w:bookmarkEnd w:id="3"/>
    </w:p>
    <w:p w:rsidR="00806086" w:rsidRDefault="00806086">
      <w:pPr>
        <w:pStyle w:val="BidBodyText"/>
        <w:tabs>
          <w:tab w:val="clear" w:pos="567"/>
        </w:tabs>
        <w:ind w:left="600" w:hanging="600"/>
        <w:jc w:val="left"/>
        <w:rPr>
          <w:rFonts w:cs="Arial"/>
          <w:sz w:val="24"/>
          <w:szCs w:val="24"/>
          <w:lang w:eastAsia="en-US"/>
        </w:rPr>
      </w:pPr>
      <w:bookmarkStart w:id="4" w:name="_Toc176775928"/>
      <w:r>
        <w:rPr>
          <w:rFonts w:cs="Arial"/>
          <w:sz w:val="24"/>
          <w:szCs w:val="24"/>
          <w:lang w:eastAsia="en-US"/>
        </w:rPr>
        <w:t>(a)</w:t>
      </w:r>
      <w:r>
        <w:rPr>
          <w:rFonts w:cs="Arial"/>
          <w:sz w:val="24"/>
          <w:szCs w:val="24"/>
          <w:lang w:eastAsia="en-US"/>
        </w:rPr>
        <w:tab/>
        <w:t xml:space="preserve">Contribution rates for members are determined for the forthcoming </w:t>
      </w:r>
      <w:r w:rsidR="008D02D0">
        <w:rPr>
          <w:rFonts w:cs="Arial"/>
          <w:sz w:val="24"/>
          <w:szCs w:val="24"/>
          <w:lang w:eastAsia="en-US"/>
        </w:rPr>
        <w:t>scheme</w:t>
      </w:r>
      <w:r>
        <w:rPr>
          <w:rFonts w:cs="Arial"/>
          <w:sz w:val="24"/>
          <w:szCs w:val="24"/>
          <w:lang w:eastAsia="en-US"/>
        </w:rPr>
        <w:t xml:space="preserve"> year on the basis of the member’s rate of pensionable pay as at </w:t>
      </w:r>
      <w:r w:rsidR="00F36E4E">
        <w:rPr>
          <w:rFonts w:cs="Arial"/>
          <w:sz w:val="24"/>
          <w:szCs w:val="24"/>
          <w:lang w:eastAsia="en-US"/>
        </w:rPr>
        <w:t>1st April</w:t>
      </w:r>
      <w:r>
        <w:rPr>
          <w:rFonts w:cs="Arial"/>
          <w:sz w:val="24"/>
          <w:szCs w:val="24"/>
          <w:lang w:eastAsia="en-US"/>
        </w:rPr>
        <w:t xml:space="preserve"> of that year (i.e. </w:t>
      </w:r>
      <w:r w:rsidR="00533423">
        <w:rPr>
          <w:rFonts w:cs="Arial"/>
          <w:sz w:val="24"/>
          <w:szCs w:val="24"/>
          <w:lang w:eastAsia="en-US"/>
        </w:rPr>
        <w:t>beginning of</w:t>
      </w:r>
      <w:r>
        <w:rPr>
          <w:rFonts w:cs="Arial"/>
          <w:sz w:val="24"/>
          <w:szCs w:val="24"/>
          <w:lang w:eastAsia="en-US"/>
        </w:rPr>
        <w:t xml:space="preserve"> the new </w:t>
      </w:r>
      <w:r w:rsidR="00E75DE6">
        <w:rPr>
          <w:rFonts w:cs="Arial"/>
          <w:sz w:val="24"/>
          <w:szCs w:val="24"/>
          <w:lang w:eastAsia="en-US"/>
        </w:rPr>
        <w:t xml:space="preserve">scheme </w:t>
      </w:r>
      <w:r>
        <w:rPr>
          <w:rFonts w:cs="Arial"/>
          <w:sz w:val="24"/>
          <w:szCs w:val="24"/>
          <w:lang w:eastAsia="en-US"/>
        </w:rPr>
        <w:t xml:space="preserve">year) and at each </w:t>
      </w:r>
      <w:r w:rsidR="00F36E4E">
        <w:rPr>
          <w:rFonts w:cs="Arial"/>
          <w:sz w:val="24"/>
          <w:szCs w:val="24"/>
          <w:lang w:eastAsia="en-US"/>
        </w:rPr>
        <w:t>1 April</w:t>
      </w:r>
      <w:r>
        <w:rPr>
          <w:rFonts w:cs="Arial"/>
          <w:sz w:val="24"/>
          <w:szCs w:val="24"/>
          <w:lang w:eastAsia="en-US"/>
        </w:rPr>
        <w:t xml:space="preserve"> thereafter but see paragraph (d) for members who opt in or new </w:t>
      </w:r>
      <w:r w:rsidR="00860F4C">
        <w:rPr>
          <w:rFonts w:cs="Arial"/>
          <w:sz w:val="24"/>
          <w:szCs w:val="24"/>
          <w:lang w:eastAsia="en-US"/>
        </w:rPr>
        <w:t>members</w:t>
      </w:r>
      <w:r>
        <w:rPr>
          <w:rFonts w:cs="Arial"/>
          <w:sz w:val="24"/>
          <w:szCs w:val="24"/>
          <w:lang w:eastAsia="en-US"/>
        </w:rPr>
        <w:t xml:space="preserve"> during any year. Once a contribution rate has been determined it is applied to the pensionable pay received. </w:t>
      </w:r>
    </w:p>
    <w:p w:rsidR="00806086" w:rsidRDefault="00806086">
      <w:pPr>
        <w:pStyle w:val="NumberedPara"/>
        <w:numPr>
          <w:ilvl w:val="0"/>
          <w:numId w:val="0"/>
        </w:numPr>
        <w:ind w:left="600" w:hanging="600"/>
        <w:rPr>
          <w:rFonts w:cs="Arial"/>
          <w:sz w:val="24"/>
          <w:szCs w:val="24"/>
        </w:rPr>
      </w:pPr>
      <w:r>
        <w:rPr>
          <w:rFonts w:cs="Arial"/>
          <w:sz w:val="24"/>
          <w:szCs w:val="24"/>
          <w:lang w:eastAsia="en-GB"/>
        </w:rPr>
        <w:t>(b)</w:t>
      </w:r>
      <w:r>
        <w:rPr>
          <w:rFonts w:cs="Arial"/>
          <w:sz w:val="24"/>
          <w:szCs w:val="24"/>
          <w:lang w:eastAsia="en-GB"/>
        </w:rPr>
        <w:tab/>
        <w:t xml:space="preserve">Pensionable pay </w:t>
      </w:r>
      <w:r w:rsidR="002B435F">
        <w:rPr>
          <w:rFonts w:cs="Arial"/>
          <w:sz w:val="24"/>
          <w:szCs w:val="24"/>
          <w:lang w:eastAsia="en-GB"/>
        </w:rPr>
        <w:t>(see s</w:t>
      </w:r>
      <w:r w:rsidR="002027D4">
        <w:rPr>
          <w:rFonts w:cs="Arial"/>
          <w:sz w:val="24"/>
          <w:szCs w:val="24"/>
          <w:lang w:eastAsia="en-GB"/>
        </w:rPr>
        <w:t>ection 4.1 of the Payroll Guide</w:t>
      </w:r>
      <w:r w:rsidR="002B435F">
        <w:rPr>
          <w:rFonts w:cs="Arial"/>
          <w:sz w:val="24"/>
          <w:szCs w:val="24"/>
          <w:lang w:eastAsia="en-GB"/>
        </w:rPr>
        <w:t xml:space="preserve">) </w:t>
      </w:r>
      <w:r>
        <w:rPr>
          <w:rFonts w:cs="Arial"/>
          <w:sz w:val="24"/>
          <w:szCs w:val="24"/>
          <w:lang w:eastAsia="en-GB"/>
        </w:rPr>
        <w:t xml:space="preserve">used to determine a contribution rate must include basic pay and any other pensionable allowances. </w:t>
      </w:r>
      <w:r w:rsidR="0046599A" w:rsidRPr="0046599A">
        <w:rPr>
          <w:rFonts w:cs="Arial"/>
          <w:sz w:val="24"/>
          <w:szCs w:val="24"/>
          <w:lang w:eastAsia="en-GB"/>
        </w:rPr>
        <w:t xml:space="preserve">Any reductions in pensionable pay due to sickness, child related leave, reserve forces service leave or other absence from work are to be disregarded when </w:t>
      </w:r>
      <w:r w:rsidR="0046599A">
        <w:rPr>
          <w:rFonts w:cs="Arial"/>
          <w:sz w:val="24"/>
          <w:szCs w:val="24"/>
          <w:lang w:eastAsia="en-GB"/>
        </w:rPr>
        <w:t xml:space="preserve">determining the level of pensionable pay for the purposes of </w:t>
      </w:r>
      <w:r w:rsidR="0046599A" w:rsidRPr="0046599A">
        <w:rPr>
          <w:rFonts w:cs="Arial"/>
          <w:sz w:val="24"/>
          <w:szCs w:val="24"/>
          <w:lang w:eastAsia="en-GB"/>
        </w:rPr>
        <w:t>assessing / reviewing the appropriate contribution rate.</w:t>
      </w:r>
    </w:p>
    <w:p w:rsidR="00806086" w:rsidRDefault="00806086">
      <w:pPr>
        <w:pStyle w:val="BidBodyText"/>
        <w:tabs>
          <w:tab w:val="clear" w:pos="567"/>
        </w:tabs>
        <w:ind w:left="600" w:hanging="600"/>
        <w:jc w:val="left"/>
        <w:rPr>
          <w:rFonts w:cs="Arial"/>
          <w:sz w:val="24"/>
          <w:szCs w:val="24"/>
        </w:rPr>
      </w:pPr>
      <w:r>
        <w:rPr>
          <w:rFonts w:cs="Arial"/>
          <w:sz w:val="24"/>
          <w:szCs w:val="24"/>
        </w:rPr>
        <w:t>(c)</w:t>
      </w:r>
      <w:r>
        <w:rPr>
          <w:rFonts w:cs="Arial"/>
          <w:sz w:val="24"/>
          <w:szCs w:val="24"/>
        </w:rPr>
        <w:tab/>
        <w:t>For members with variable payments / allowances</w:t>
      </w:r>
      <w:r w:rsidR="00172D42">
        <w:rPr>
          <w:rFonts w:cs="Arial"/>
          <w:sz w:val="24"/>
          <w:szCs w:val="24"/>
        </w:rPr>
        <w:t xml:space="preserve"> or fluctuating hours</w:t>
      </w:r>
      <w:r>
        <w:rPr>
          <w:rFonts w:cs="Arial"/>
          <w:sz w:val="24"/>
          <w:szCs w:val="24"/>
        </w:rPr>
        <w:t xml:space="preserve">, employers should include an estimate of the annual rate of such payments in their calculation of the rate of pensionable pay.  </w:t>
      </w:r>
      <w:r w:rsidR="002D683D">
        <w:rPr>
          <w:rFonts w:cs="Arial"/>
          <w:sz w:val="24"/>
          <w:szCs w:val="24"/>
        </w:rPr>
        <w:t xml:space="preserve">Employers may, in the absence of or in preference to any other justifiable and reasonable method, base such an estimate on the average of payments over a year (or any other period the employer considers reasonable). </w:t>
      </w:r>
      <w:r>
        <w:rPr>
          <w:rFonts w:cs="Arial"/>
          <w:sz w:val="24"/>
          <w:szCs w:val="24"/>
        </w:rPr>
        <w:t>Once set, the contribution rate for the remainder of that year will not be adjusted to reflect the actual value of tho</w:t>
      </w:r>
      <w:r w:rsidR="009401FB">
        <w:rPr>
          <w:rFonts w:cs="Arial"/>
          <w:sz w:val="24"/>
          <w:szCs w:val="24"/>
        </w:rPr>
        <w:t>se variable payments. Refer to A</w:t>
      </w:r>
      <w:r>
        <w:rPr>
          <w:rFonts w:cs="Arial"/>
          <w:sz w:val="24"/>
          <w:szCs w:val="24"/>
        </w:rPr>
        <w:t xml:space="preserve">nnex A, </w:t>
      </w:r>
      <w:r w:rsidR="009401FB">
        <w:rPr>
          <w:rFonts w:cs="Arial"/>
          <w:sz w:val="24"/>
          <w:szCs w:val="24"/>
        </w:rPr>
        <w:t>“Allocation for existing members” S</w:t>
      </w:r>
      <w:r>
        <w:rPr>
          <w:rFonts w:cs="Arial"/>
          <w:sz w:val="24"/>
          <w:szCs w:val="24"/>
        </w:rPr>
        <w:t xml:space="preserve">cenario B for treatment if </w:t>
      </w:r>
      <w:r w:rsidR="00161926">
        <w:rPr>
          <w:rFonts w:cs="Arial"/>
          <w:sz w:val="24"/>
          <w:szCs w:val="24"/>
        </w:rPr>
        <w:t xml:space="preserve">a </w:t>
      </w:r>
      <w:r>
        <w:rPr>
          <w:rFonts w:cs="Arial"/>
          <w:sz w:val="24"/>
          <w:szCs w:val="24"/>
        </w:rPr>
        <w:t>member</w:t>
      </w:r>
      <w:r w:rsidR="00161926">
        <w:rPr>
          <w:rFonts w:cs="Arial"/>
          <w:sz w:val="24"/>
          <w:szCs w:val="24"/>
        </w:rPr>
        <w:t xml:space="preserve"> is in</w:t>
      </w:r>
      <w:r>
        <w:rPr>
          <w:rFonts w:cs="Arial"/>
          <w:sz w:val="24"/>
          <w:szCs w:val="24"/>
        </w:rPr>
        <w:t xml:space="preserve"> part time</w:t>
      </w:r>
      <w:r w:rsidR="00161926">
        <w:rPr>
          <w:rFonts w:cs="Arial"/>
          <w:sz w:val="24"/>
          <w:szCs w:val="24"/>
        </w:rPr>
        <w:t xml:space="preserve"> employment</w:t>
      </w:r>
      <w:r w:rsidR="009401FB">
        <w:rPr>
          <w:rFonts w:cs="Arial"/>
          <w:sz w:val="24"/>
          <w:szCs w:val="24"/>
        </w:rPr>
        <w:t>.</w:t>
      </w:r>
    </w:p>
    <w:p w:rsidR="00806086" w:rsidRDefault="00806086">
      <w:pPr>
        <w:pStyle w:val="BidBodyText"/>
        <w:tabs>
          <w:tab w:val="clear" w:pos="567"/>
        </w:tabs>
        <w:ind w:left="600" w:hanging="600"/>
        <w:jc w:val="left"/>
        <w:rPr>
          <w:rFonts w:cs="Arial"/>
          <w:sz w:val="24"/>
          <w:szCs w:val="24"/>
        </w:rPr>
      </w:pPr>
      <w:r>
        <w:rPr>
          <w:rFonts w:cs="Arial"/>
          <w:sz w:val="24"/>
          <w:szCs w:val="24"/>
          <w:lang w:eastAsia="en-US"/>
        </w:rPr>
        <w:t>(d)</w:t>
      </w:r>
      <w:r>
        <w:rPr>
          <w:rFonts w:cs="Arial"/>
          <w:sz w:val="24"/>
          <w:szCs w:val="24"/>
          <w:lang w:eastAsia="en-US"/>
        </w:rPr>
        <w:tab/>
        <w:t>For new scheme members or employees who opt into the pension scheme after</w:t>
      </w:r>
      <w:r w:rsidR="000D2EC5">
        <w:rPr>
          <w:rFonts w:cs="Arial"/>
          <w:sz w:val="24"/>
          <w:szCs w:val="24"/>
          <w:lang w:eastAsia="en-US"/>
        </w:rPr>
        <w:t xml:space="preserve"> </w:t>
      </w:r>
      <w:r w:rsidR="00363CB6">
        <w:rPr>
          <w:rFonts w:cs="Arial"/>
          <w:sz w:val="24"/>
          <w:szCs w:val="24"/>
          <w:lang w:eastAsia="en-US"/>
        </w:rPr>
        <w:t xml:space="preserve">each </w:t>
      </w:r>
      <w:r w:rsidR="00F36E4E">
        <w:rPr>
          <w:rFonts w:cs="Arial"/>
          <w:sz w:val="24"/>
          <w:szCs w:val="24"/>
          <w:lang w:eastAsia="en-US"/>
        </w:rPr>
        <w:t>1st April</w:t>
      </w:r>
      <w:r>
        <w:rPr>
          <w:rFonts w:cs="Arial"/>
          <w:sz w:val="24"/>
          <w:szCs w:val="24"/>
          <w:lang w:eastAsia="en-US"/>
        </w:rPr>
        <w:t xml:space="preserve">, the allocation of their contribution rate will be based on </w:t>
      </w:r>
      <w:r w:rsidR="001D78E1">
        <w:rPr>
          <w:rFonts w:cs="Arial"/>
          <w:sz w:val="24"/>
          <w:szCs w:val="24"/>
          <w:lang w:eastAsia="en-US"/>
        </w:rPr>
        <w:t xml:space="preserve">their </w:t>
      </w:r>
      <w:r w:rsidR="00E75DE6">
        <w:rPr>
          <w:rFonts w:cs="Arial"/>
          <w:sz w:val="24"/>
          <w:szCs w:val="24"/>
          <w:lang w:eastAsia="en-US"/>
        </w:rPr>
        <w:t xml:space="preserve">rate of </w:t>
      </w:r>
      <w:r w:rsidR="001D78E1">
        <w:rPr>
          <w:rFonts w:cs="Arial"/>
          <w:sz w:val="24"/>
          <w:szCs w:val="24"/>
          <w:lang w:eastAsia="en-US"/>
        </w:rPr>
        <w:t>pensionable</w:t>
      </w:r>
      <w:r>
        <w:rPr>
          <w:rFonts w:cs="Arial"/>
          <w:sz w:val="24"/>
          <w:szCs w:val="24"/>
          <w:lang w:eastAsia="en-US"/>
        </w:rPr>
        <w:t xml:space="preserve"> pay plus the estimated annual value of any other pensionable allowances at the date scheme membership commences. </w:t>
      </w:r>
    </w:p>
    <w:p w:rsidR="00806086" w:rsidRDefault="00806086">
      <w:pPr>
        <w:pStyle w:val="BidBodyText"/>
        <w:tabs>
          <w:tab w:val="clear" w:pos="567"/>
        </w:tabs>
        <w:ind w:left="600" w:hanging="600"/>
        <w:jc w:val="left"/>
        <w:rPr>
          <w:rFonts w:cs="Arial"/>
          <w:sz w:val="24"/>
          <w:szCs w:val="24"/>
        </w:rPr>
      </w:pPr>
      <w:r>
        <w:rPr>
          <w:rFonts w:cs="Arial"/>
          <w:sz w:val="24"/>
          <w:szCs w:val="24"/>
          <w:lang w:eastAsia="en-US"/>
        </w:rPr>
        <w:t xml:space="preserve"> </w:t>
      </w:r>
      <w:r>
        <w:rPr>
          <w:rFonts w:cs="Arial"/>
          <w:sz w:val="24"/>
          <w:szCs w:val="24"/>
        </w:rPr>
        <w:t>(e)</w:t>
      </w:r>
      <w:r>
        <w:rPr>
          <w:rFonts w:cs="Arial"/>
          <w:sz w:val="24"/>
          <w:szCs w:val="24"/>
        </w:rPr>
        <w:tab/>
        <w:t>The new contribution rates are to apply from either:</w:t>
      </w:r>
    </w:p>
    <w:p w:rsidR="00806086" w:rsidRDefault="00806086">
      <w:pPr>
        <w:pStyle w:val="BidBodyText"/>
        <w:tabs>
          <w:tab w:val="clear" w:pos="567"/>
        </w:tabs>
        <w:ind w:left="600" w:hanging="600"/>
        <w:jc w:val="left"/>
        <w:rPr>
          <w:rFonts w:cs="Arial"/>
          <w:sz w:val="24"/>
          <w:szCs w:val="24"/>
        </w:rPr>
      </w:pPr>
      <w:r>
        <w:rPr>
          <w:rFonts w:cs="Arial"/>
          <w:sz w:val="24"/>
          <w:szCs w:val="24"/>
        </w:rPr>
        <w:tab/>
      </w:r>
      <w:r>
        <w:rPr>
          <w:rFonts w:cs="Arial"/>
          <w:sz w:val="24"/>
          <w:szCs w:val="24"/>
        </w:rPr>
        <w:tab/>
        <w:t xml:space="preserve">1. </w:t>
      </w:r>
      <w:r w:rsidR="00F9208E">
        <w:rPr>
          <w:rFonts w:cs="Arial"/>
          <w:sz w:val="24"/>
          <w:szCs w:val="24"/>
        </w:rPr>
        <w:t>W</w:t>
      </w:r>
      <w:r>
        <w:rPr>
          <w:rFonts w:cs="Arial"/>
          <w:sz w:val="24"/>
          <w:szCs w:val="24"/>
        </w:rPr>
        <w:t>eek</w:t>
      </w:r>
      <w:r w:rsidR="00196049">
        <w:rPr>
          <w:rFonts w:cs="Arial"/>
          <w:sz w:val="24"/>
          <w:szCs w:val="24"/>
        </w:rPr>
        <w:t xml:space="preserve"> </w:t>
      </w:r>
      <w:r>
        <w:rPr>
          <w:rFonts w:cs="Arial"/>
          <w:sz w:val="24"/>
          <w:szCs w:val="24"/>
        </w:rPr>
        <w:t>1/</w:t>
      </w:r>
      <w:r w:rsidR="00196049">
        <w:rPr>
          <w:rFonts w:cs="Arial"/>
          <w:sz w:val="24"/>
          <w:szCs w:val="24"/>
        </w:rPr>
        <w:t xml:space="preserve"> </w:t>
      </w:r>
      <w:r>
        <w:rPr>
          <w:rFonts w:cs="Arial"/>
          <w:sz w:val="24"/>
          <w:szCs w:val="24"/>
        </w:rPr>
        <w:t>Month</w:t>
      </w:r>
      <w:r w:rsidR="00196049">
        <w:rPr>
          <w:rFonts w:cs="Arial"/>
          <w:sz w:val="24"/>
          <w:szCs w:val="24"/>
        </w:rPr>
        <w:t xml:space="preserve"> </w:t>
      </w:r>
      <w:r>
        <w:rPr>
          <w:rFonts w:cs="Arial"/>
          <w:sz w:val="24"/>
          <w:szCs w:val="24"/>
        </w:rPr>
        <w:t>1 of each new tax year, or</w:t>
      </w:r>
    </w:p>
    <w:p w:rsidR="00806086" w:rsidRDefault="00806086">
      <w:pPr>
        <w:pStyle w:val="BidBodyText"/>
        <w:tabs>
          <w:tab w:val="clear" w:pos="567"/>
        </w:tabs>
        <w:ind w:left="600" w:hanging="600"/>
        <w:jc w:val="left"/>
        <w:rPr>
          <w:rFonts w:cs="Arial"/>
          <w:sz w:val="24"/>
          <w:szCs w:val="24"/>
        </w:rPr>
      </w:pPr>
      <w:r>
        <w:rPr>
          <w:rFonts w:cs="Arial"/>
          <w:sz w:val="24"/>
          <w:szCs w:val="24"/>
        </w:rPr>
        <w:tab/>
      </w:r>
      <w:r>
        <w:rPr>
          <w:rFonts w:cs="Arial"/>
          <w:sz w:val="24"/>
          <w:szCs w:val="24"/>
        </w:rPr>
        <w:tab/>
        <w:t>2. the first full pay period in each new tax year</w:t>
      </w:r>
    </w:p>
    <w:p w:rsidR="00806086" w:rsidRDefault="00806086">
      <w:pPr>
        <w:pStyle w:val="BidBodyText"/>
        <w:tabs>
          <w:tab w:val="clear" w:pos="567"/>
        </w:tabs>
        <w:ind w:left="600" w:hanging="600"/>
        <w:jc w:val="left"/>
        <w:rPr>
          <w:rFonts w:cs="Arial"/>
          <w:sz w:val="24"/>
          <w:szCs w:val="24"/>
        </w:rPr>
      </w:pPr>
      <w:r>
        <w:rPr>
          <w:rFonts w:cs="Arial"/>
          <w:sz w:val="24"/>
          <w:szCs w:val="24"/>
        </w:rPr>
        <w:tab/>
        <w:t>as determined by the employing authority</w:t>
      </w:r>
      <w:r w:rsidR="00F9208E">
        <w:rPr>
          <w:rFonts w:cs="Arial"/>
          <w:sz w:val="24"/>
          <w:szCs w:val="24"/>
        </w:rPr>
        <w:t xml:space="preserve"> with the agreement of the administering authority</w:t>
      </w:r>
      <w:r>
        <w:rPr>
          <w:rFonts w:cs="Arial"/>
          <w:sz w:val="24"/>
          <w:szCs w:val="24"/>
        </w:rPr>
        <w:t>.</w:t>
      </w:r>
      <w:r>
        <w:rPr>
          <w:rFonts w:cs="Arial"/>
          <w:sz w:val="24"/>
          <w:szCs w:val="24"/>
        </w:rPr>
        <w:tab/>
      </w:r>
    </w:p>
    <w:p w:rsidR="00806086" w:rsidRDefault="00806086">
      <w:pPr>
        <w:pStyle w:val="BidBodyText"/>
        <w:tabs>
          <w:tab w:val="clear" w:pos="567"/>
        </w:tabs>
        <w:ind w:left="600" w:hanging="600"/>
        <w:jc w:val="left"/>
        <w:rPr>
          <w:rFonts w:cs="Arial"/>
          <w:sz w:val="24"/>
          <w:szCs w:val="24"/>
        </w:rPr>
      </w:pPr>
      <w:r>
        <w:rPr>
          <w:rFonts w:cs="Arial"/>
          <w:sz w:val="24"/>
          <w:szCs w:val="24"/>
          <w:lang w:eastAsia="en-US"/>
        </w:rPr>
        <w:t>(f)</w:t>
      </w:r>
      <w:r>
        <w:rPr>
          <w:rFonts w:cs="Arial"/>
          <w:sz w:val="24"/>
          <w:szCs w:val="24"/>
          <w:lang w:eastAsia="en-US"/>
        </w:rPr>
        <w:tab/>
        <w:t>When determining pensionable pay for the purpose of allocating a contribution rate to a member</w:t>
      </w:r>
      <w:r w:rsidR="00161926">
        <w:rPr>
          <w:rFonts w:cs="Arial"/>
          <w:sz w:val="24"/>
          <w:szCs w:val="24"/>
          <w:lang w:eastAsia="en-US"/>
        </w:rPr>
        <w:t xml:space="preserve"> from Table 2</w:t>
      </w:r>
      <w:r>
        <w:rPr>
          <w:rFonts w:cs="Arial"/>
          <w:sz w:val="24"/>
          <w:szCs w:val="24"/>
          <w:lang w:eastAsia="en-US"/>
        </w:rPr>
        <w:t>, the amount must be rounded down to the nearest pound.</w:t>
      </w:r>
    </w:p>
    <w:p w:rsidR="00BE04B7" w:rsidRDefault="00806086" w:rsidP="00BE04B7">
      <w:pPr>
        <w:pStyle w:val="BidBodyText"/>
        <w:tabs>
          <w:tab w:val="clear" w:pos="567"/>
        </w:tabs>
        <w:ind w:left="600" w:hanging="600"/>
        <w:jc w:val="left"/>
        <w:rPr>
          <w:rFonts w:cs="Arial"/>
          <w:sz w:val="24"/>
          <w:szCs w:val="24"/>
        </w:rPr>
      </w:pPr>
      <w:r>
        <w:rPr>
          <w:rFonts w:cs="Arial"/>
          <w:sz w:val="24"/>
          <w:szCs w:val="24"/>
        </w:rPr>
        <w:t>(g)</w:t>
      </w:r>
      <w:r>
        <w:rPr>
          <w:rFonts w:cs="Arial"/>
          <w:sz w:val="24"/>
          <w:szCs w:val="24"/>
        </w:rPr>
        <w:tab/>
        <w:t xml:space="preserve">Pensionable allowances for part-time workers must be included where applicable, for example, bonus payments, </w:t>
      </w:r>
      <w:r w:rsidR="00C816F3">
        <w:rPr>
          <w:rFonts w:cs="Arial"/>
          <w:sz w:val="24"/>
          <w:szCs w:val="24"/>
        </w:rPr>
        <w:t>and distant</w:t>
      </w:r>
      <w:r>
        <w:rPr>
          <w:rFonts w:cs="Arial"/>
          <w:sz w:val="24"/>
          <w:szCs w:val="24"/>
        </w:rPr>
        <w:t xml:space="preserve"> islands allowances.  </w:t>
      </w:r>
    </w:p>
    <w:p w:rsidR="005255DC" w:rsidRDefault="00167BE6">
      <w:pPr>
        <w:pStyle w:val="NumberedPara"/>
        <w:numPr>
          <w:ilvl w:val="0"/>
          <w:numId w:val="0"/>
        </w:numPr>
        <w:ind w:left="600" w:hanging="600"/>
        <w:rPr>
          <w:rFonts w:cs="Arial"/>
          <w:sz w:val="24"/>
          <w:szCs w:val="24"/>
        </w:rPr>
      </w:pPr>
      <w:r>
        <w:rPr>
          <w:rFonts w:cs="Arial"/>
          <w:sz w:val="24"/>
          <w:szCs w:val="24"/>
        </w:rPr>
        <w:lastRenderedPageBreak/>
        <w:t>(h)</w:t>
      </w:r>
      <w:r>
        <w:rPr>
          <w:rFonts w:cs="Arial"/>
          <w:sz w:val="24"/>
          <w:szCs w:val="24"/>
        </w:rPr>
        <w:tab/>
      </w:r>
      <w:r w:rsidR="00BE04B7">
        <w:rPr>
          <w:rFonts w:cs="Arial"/>
          <w:sz w:val="24"/>
          <w:szCs w:val="24"/>
        </w:rPr>
        <w:t>A</w:t>
      </w:r>
      <w:r w:rsidR="00234631">
        <w:rPr>
          <w:rFonts w:cs="Arial"/>
          <w:sz w:val="24"/>
          <w:szCs w:val="24"/>
        </w:rPr>
        <w:t>ny a</w:t>
      </w:r>
      <w:r w:rsidR="00BE04B7">
        <w:rPr>
          <w:rFonts w:cs="Arial"/>
          <w:sz w:val="24"/>
          <w:szCs w:val="24"/>
        </w:rPr>
        <w:t xml:space="preserve">dditional hours </w:t>
      </w:r>
      <w:r w:rsidR="00234631">
        <w:rPr>
          <w:rFonts w:cs="Arial"/>
          <w:sz w:val="24"/>
          <w:szCs w:val="24"/>
        </w:rPr>
        <w:t xml:space="preserve">worked by a part-time member over and </w:t>
      </w:r>
      <w:r w:rsidR="00BE04B7">
        <w:rPr>
          <w:rFonts w:cs="Arial"/>
          <w:sz w:val="24"/>
          <w:szCs w:val="24"/>
        </w:rPr>
        <w:t xml:space="preserve">above </w:t>
      </w:r>
      <w:r w:rsidR="00234631">
        <w:rPr>
          <w:rFonts w:cs="Arial"/>
          <w:sz w:val="24"/>
          <w:szCs w:val="24"/>
        </w:rPr>
        <w:t xml:space="preserve">the </w:t>
      </w:r>
      <w:r w:rsidR="002B435F">
        <w:rPr>
          <w:rFonts w:cs="Arial"/>
          <w:sz w:val="24"/>
          <w:szCs w:val="24"/>
        </w:rPr>
        <w:t xml:space="preserve">member’s contracted hours up to the </w:t>
      </w:r>
      <w:r w:rsidR="00BE04B7">
        <w:rPr>
          <w:rFonts w:cs="Arial"/>
          <w:sz w:val="24"/>
          <w:szCs w:val="24"/>
        </w:rPr>
        <w:t xml:space="preserve">standard </w:t>
      </w:r>
      <w:r w:rsidR="00234631">
        <w:rPr>
          <w:rFonts w:cs="Arial"/>
          <w:sz w:val="24"/>
          <w:szCs w:val="24"/>
        </w:rPr>
        <w:t xml:space="preserve">full time </w:t>
      </w:r>
      <w:r w:rsidR="00BE04B7">
        <w:rPr>
          <w:rFonts w:cs="Arial"/>
          <w:sz w:val="24"/>
          <w:szCs w:val="24"/>
        </w:rPr>
        <w:t xml:space="preserve">hours </w:t>
      </w:r>
      <w:r w:rsidR="00234631">
        <w:rPr>
          <w:rFonts w:cs="Arial"/>
          <w:sz w:val="24"/>
          <w:szCs w:val="24"/>
        </w:rPr>
        <w:t xml:space="preserve">for that member’s job </w:t>
      </w:r>
      <w:r w:rsidR="00BE04B7">
        <w:rPr>
          <w:rFonts w:cs="Arial"/>
          <w:sz w:val="24"/>
          <w:szCs w:val="24"/>
        </w:rPr>
        <w:t xml:space="preserve">must be included by </w:t>
      </w:r>
      <w:r w:rsidR="00234631">
        <w:rPr>
          <w:rFonts w:cs="Arial"/>
          <w:sz w:val="24"/>
          <w:szCs w:val="24"/>
        </w:rPr>
        <w:t>calculat</w:t>
      </w:r>
      <w:r w:rsidR="00BE04B7">
        <w:rPr>
          <w:rFonts w:cs="Arial"/>
          <w:sz w:val="24"/>
          <w:szCs w:val="24"/>
        </w:rPr>
        <w:t xml:space="preserve">ing the </w:t>
      </w:r>
      <w:r w:rsidR="00234631">
        <w:rPr>
          <w:rFonts w:cs="Arial"/>
          <w:sz w:val="24"/>
          <w:szCs w:val="24"/>
        </w:rPr>
        <w:t xml:space="preserve">member’s </w:t>
      </w:r>
      <w:r w:rsidR="00BE04B7">
        <w:rPr>
          <w:rFonts w:cs="Arial"/>
          <w:sz w:val="24"/>
          <w:szCs w:val="24"/>
        </w:rPr>
        <w:t xml:space="preserve">annual average additional </w:t>
      </w:r>
      <w:r w:rsidR="0046599A">
        <w:rPr>
          <w:rFonts w:cs="Arial"/>
          <w:sz w:val="24"/>
          <w:szCs w:val="24"/>
        </w:rPr>
        <w:t xml:space="preserve">pensionable </w:t>
      </w:r>
      <w:r w:rsidR="00BE04B7">
        <w:rPr>
          <w:rFonts w:cs="Arial"/>
          <w:sz w:val="24"/>
          <w:szCs w:val="24"/>
        </w:rPr>
        <w:t xml:space="preserve">hours and applying the appropriate rate of pay applicable at the </w:t>
      </w:r>
      <w:r w:rsidR="00F36E4E">
        <w:rPr>
          <w:rFonts w:cs="Arial"/>
          <w:sz w:val="24"/>
          <w:szCs w:val="24"/>
        </w:rPr>
        <w:t>1st April</w:t>
      </w:r>
      <w:r w:rsidR="00BE04B7">
        <w:rPr>
          <w:rFonts w:cs="Arial"/>
          <w:sz w:val="24"/>
          <w:szCs w:val="24"/>
        </w:rPr>
        <w:t>.</w:t>
      </w:r>
      <w:r w:rsidR="00FE5828">
        <w:rPr>
          <w:rFonts w:cs="Arial"/>
          <w:sz w:val="24"/>
          <w:szCs w:val="24"/>
        </w:rPr>
        <w:t xml:space="preserve"> </w:t>
      </w:r>
      <w:r w:rsidR="0046599A">
        <w:rPr>
          <w:rFonts w:cs="Arial"/>
          <w:sz w:val="24"/>
          <w:szCs w:val="24"/>
        </w:rPr>
        <w:t xml:space="preserve">Pensionable hours each pay period are the </w:t>
      </w:r>
      <w:r w:rsidR="0046599A" w:rsidRPr="0046599A">
        <w:rPr>
          <w:rFonts w:cs="Arial"/>
          <w:sz w:val="24"/>
          <w:szCs w:val="24"/>
        </w:rPr>
        <w:t xml:space="preserve">hours </w:t>
      </w:r>
      <w:r w:rsidR="0046599A">
        <w:rPr>
          <w:rFonts w:cs="Arial"/>
          <w:sz w:val="24"/>
          <w:szCs w:val="24"/>
        </w:rPr>
        <w:t xml:space="preserve">worked up to those </w:t>
      </w:r>
      <w:r w:rsidR="0046599A" w:rsidRPr="0046599A">
        <w:rPr>
          <w:rFonts w:cs="Arial"/>
          <w:sz w:val="24"/>
          <w:szCs w:val="24"/>
        </w:rPr>
        <w:t xml:space="preserve">of the standard full-time working week for the employee in that employment. Hours worked in excess of the standard full-time working week for the employee in that employment will, apart from contractual overtime, be non-pensionable. </w:t>
      </w:r>
      <w:r w:rsidR="00FE5828">
        <w:rPr>
          <w:rFonts w:cs="Arial"/>
          <w:sz w:val="24"/>
          <w:szCs w:val="24"/>
        </w:rPr>
        <w:t xml:space="preserve">Where a part-time member’s standard hours are regularly changed </w:t>
      </w:r>
      <w:r w:rsidR="003A6550">
        <w:rPr>
          <w:rFonts w:cs="Arial"/>
          <w:sz w:val="24"/>
          <w:szCs w:val="24"/>
        </w:rPr>
        <w:t>see (k) below.</w:t>
      </w:r>
      <w:r w:rsidR="00FE5828">
        <w:rPr>
          <w:rFonts w:cs="Arial"/>
          <w:sz w:val="24"/>
          <w:szCs w:val="24"/>
        </w:rPr>
        <w:t xml:space="preserve"> </w:t>
      </w:r>
    </w:p>
    <w:p w:rsidR="00806086" w:rsidRDefault="00806086">
      <w:pPr>
        <w:pStyle w:val="NumberedPara"/>
        <w:numPr>
          <w:ilvl w:val="0"/>
          <w:numId w:val="0"/>
        </w:numPr>
        <w:ind w:left="600" w:hanging="600"/>
        <w:rPr>
          <w:rFonts w:cs="Arial"/>
          <w:sz w:val="24"/>
          <w:szCs w:val="24"/>
        </w:rPr>
      </w:pPr>
      <w:r>
        <w:rPr>
          <w:rFonts w:cs="Arial"/>
          <w:sz w:val="24"/>
          <w:szCs w:val="24"/>
        </w:rPr>
        <w:t>(</w:t>
      </w:r>
      <w:r w:rsidR="00BE04B7">
        <w:rPr>
          <w:rFonts w:cs="Arial"/>
          <w:sz w:val="24"/>
          <w:szCs w:val="24"/>
        </w:rPr>
        <w:t>i</w:t>
      </w:r>
      <w:r>
        <w:rPr>
          <w:rFonts w:cs="Arial"/>
          <w:sz w:val="24"/>
          <w:szCs w:val="24"/>
        </w:rPr>
        <w:t>)</w:t>
      </w:r>
      <w:r>
        <w:rPr>
          <w:rFonts w:cs="Arial"/>
          <w:sz w:val="24"/>
          <w:szCs w:val="24"/>
        </w:rPr>
        <w:tab/>
      </w:r>
      <w:r w:rsidR="00CF430C" w:rsidRPr="00CF430C">
        <w:rPr>
          <w:rFonts w:cs="Arial"/>
          <w:sz w:val="24"/>
          <w:szCs w:val="24"/>
        </w:rPr>
        <w:t>Any reductions in pensionable pay due to sickness, child related leave, reserve forces service leave or other absence from work are to be disregarded when determining the level of pensionable pay for the purposes of assessing / reviewing the appropriate contribution rate.</w:t>
      </w:r>
    </w:p>
    <w:p w:rsidR="00806086" w:rsidRDefault="00806086">
      <w:pPr>
        <w:pStyle w:val="BidBodyText"/>
        <w:tabs>
          <w:tab w:val="clear" w:pos="567"/>
        </w:tabs>
        <w:ind w:left="600" w:hanging="600"/>
        <w:jc w:val="left"/>
        <w:rPr>
          <w:rFonts w:cs="Arial"/>
          <w:sz w:val="24"/>
          <w:szCs w:val="24"/>
        </w:rPr>
      </w:pPr>
      <w:r>
        <w:rPr>
          <w:rFonts w:cs="Arial"/>
          <w:sz w:val="24"/>
          <w:szCs w:val="24"/>
        </w:rPr>
        <w:t>(</w:t>
      </w:r>
      <w:r w:rsidR="00BE04B7">
        <w:rPr>
          <w:rFonts w:cs="Arial"/>
          <w:sz w:val="24"/>
          <w:szCs w:val="24"/>
        </w:rPr>
        <w:t>j</w:t>
      </w:r>
      <w:r>
        <w:rPr>
          <w:rFonts w:cs="Arial"/>
          <w:sz w:val="24"/>
          <w:szCs w:val="24"/>
        </w:rPr>
        <w:t>)</w:t>
      </w:r>
      <w:r>
        <w:rPr>
          <w:rFonts w:cs="Arial"/>
          <w:sz w:val="24"/>
          <w:szCs w:val="24"/>
        </w:rPr>
        <w:tab/>
        <w:t>For members with multiple contracts, pensionable pay under each contract is considered separately and each contract is allocated a contribution rate individually.</w:t>
      </w:r>
    </w:p>
    <w:p w:rsidR="00806086" w:rsidRDefault="00806086">
      <w:pPr>
        <w:pStyle w:val="BidBodyText"/>
        <w:tabs>
          <w:tab w:val="clear" w:pos="567"/>
        </w:tabs>
        <w:ind w:left="600" w:hanging="600"/>
        <w:jc w:val="left"/>
        <w:rPr>
          <w:rFonts w:cs="Arial"/>
          <w:sz w:val="24"/>
          <w:szCs w:val="24"/>
        </w:rPr>
      </w:pPr>
      <w:r>
        <w:rPr>
          <w:rFonts w:cs="Arial"/>
          <w:sz w:val="24"/>
          <w:szCs w:val="24"/>
        </w:rPr>
        <w:t>(</w:t>
      </w:r>
      <w:r w:rsidR="00BE04B7">
        <w:rPr>
          <w:rFonts w:cs="Arial"/>
          <w:sz w:val="24"/>
          <w:szCs w:val="24"/>
        </w:rPr>
        <w:t>k</w:t>
      </w:r>
      <w:r>
        <w:rPr>
          <w:rFonts w:cs="Arial"/>
          <w:sz w:val="24"/>
          <w:szCs w:val="24"/>
        </w:rPr>
        <w:t>)</w:t>
      </w:r>
      <w:r>
        <w:rPr>
          <w:rFonts w:cs="Arial"/>
          <w:sz w:val="24"/>
          <w:szCs w:val="24"/>
        </w:rPr>
        <w:tab/>
        <w:t>Members without breaks in employment who remain with the same employing authority will retain the same contribution rate for the whole of the year</w:t>
      </w:r>
      <w:r w:rsidR="00E22F7C">
        <w:rPr>
          <w:rFonts w:cs="Arial"/>
          <w:sz w:val="24"/>
          <w:szCs w:val="24"/>
        </w:rPr>
        <w:t xml:space="preserve"> (unless that member elects to join the 50/50 section of the scheme, where they would then pay half that rate of contributions)</w:t>
      </w:r>
      <w:r w:rsidR="00172D42">
        <w:rPr>
          <w:rFonts w:cs="Arial"/>
          <w:sz w:val="24"/>
          <w:szCs w:val="24"/>
        </w:rPr>
        <w:t>.</w:t>
      </w:r>
      <w:r>
        <w:rPr>
          <w:rFonts w:cs="Arial"/>
          <w:sz w:val="24"/>
          <w:szCs w:val="24"/>
        </w:rPr>
        <w:t xml:space="preserve"> The exception to this </w:t>
      </w:r>
      <w:r w:rsidR="00C35E46">
        <w:rPr>
          <w:rFonts w:cs="Arial"/>
          <w:sz w:val="24"/>
          <w:szCs w:val="24"/>
        </w:rPr>
        <w:t>is</w:t>
      </w:r>
      <w:r>
        <w:rPr>
          <w:rFonts w:cs="Arial"/>
          <w:sz w:val="24"/>
          <w:szCs w:val="24"/>
        </w:rPr>
        <w:t xml:space="preserve"> where regulation </w:t>
      </w:r>
      <w:r w:rsidR="004A4A66">
        <w:rPr>
          <w:rFonts w:cs="Arial"/>
          <w:sz w:val="24"/>
          <w:szCs w:val="24"/>
        </w:rPr>
        <w:t>9</w:t>
      </w:r>
      <w:r>
        <w:rPr>
          <w:rFonts w:cs="Arial"/>
          <w:sz w:val="24"/>
          <w:szCs w:val="24"/>
        </w:rPr>
        <w:t xml:space="preserve">(4) of The Local Government </w:t>
      </w:r>
      <w:r w:rsidR="00500B4C">
        <w:rPr>
          <w:rFonts w:cs="Arial"/>
          <w:sz w:val="24"/>
          <w:szCs w:val="24"/>
        </w:rPr>
        <w:t xml:space="preserve">Pension Scheme </w:t>
      </w:r>
      <w:r>
        <w:rPr>
          <w:rFonts w:cs="Arial"/>
          <w:sz w:val="24"/>
          <w:szCs w:val="24"/>
        </w:rPr>
        <w:t>(</w:t>
      </w:r>
      <w:smartTag w:uri="urn:schemas-microsoft-com:office:smarttags" w:element="place">
        <w:smartTag w:uri="urn:schemas-microsoft-com:office:smarttags" w:element="country-region">
          <w:r>
            <w:rPr>
              <w:rFonts w:cs="Arial"/>
              <w:sz w:val="24"/>
              <w:szCs w:val="24"/>
            </w:rPr>
            <w:t>Scotland</w:t>
          </w:r>
        </w:smartTag>
      </w:smartTag>
      <w:r>
        <w:rPr>
          <w:rFonts w:cs="Arial"/>
          <w:sz w:val="24"/>
          <w:szCs w:val="24"/>
        </w:rPr>
        <w:t xml:space="preserve">) Regulations </w:t>
      </w:r>
      <w:r w:rsidR="004A4A66">
        <w:rPr>
          <w:rFonts w:cs="Arial"/>
          <w:sz w:val="24"/>
          <w:szCs w:val="24"/>
        </w:rPr>
        <w:t xml:space="preserve">2014 applies </w:t>
      </w:r>
      <w:r>
        <w:rPr>
          <w:rFonts w:cs="Arial"/>
          <w:sz w:val="24"/>
          <w:szCs w:val="24"/>
        </w:rPr>
        <w:t>i.e. where there has been a permanent material change in the member’s terms and conditions</w:t>
      </w:r>
      <w:r w:rsidR="00710891">
        <w:rPr>
          <w:rFonts w:cs="Arial"/>
          <w:sz w:val="24"/>
          <w:szCs w:val="24"/>
        </w:rPr>
        <w:t xml:space="preserve"> (e.g. on promotion</w:t>
      </w:r>
      <w:r w:rsidR="005F65C4">
        <w:rPr>
          <w:rFonts w:cs="Arial"/>
          <w:sz w:val="24"/>
          <w:szCs w:val="24"/>
        </w:rPr>
        <w:t>, demotion</w:t>
      </w:r>
      <w:r w:rsidR="00E62C43">
        <w:rPr>
          <w:rFonts w:cs="Arial"/>
          <w:sz w:val="24"/>
          <w:szCs w:val="24"/>
        </w:rPr>
        <w:t>,</w:t>
      </w:r>
      <w:r w:rsidR="005F65C4">
        <w:rPr>
          <w:rFonts w:cs="Arial"/>
          <w:sz w:val="24"/>
          <w:szCs w:val="24"/>
        </w:rPr>
        <w:t xml:space="preserve"> </w:t>
      </w:r>
      <w:r w:rsidR="00E62C43">
        <w:rPr>
          <w:rFonts w:cs="Arial"/>
          <w:sz w:val="24"/>
          <w:szCs w:val="24"/>
        </w:rPr>
        <w:t>re</w:t>
      </w:r>
      <w:r w:rsidR="00196049">
        <w:rPr>
          <w:rFonts w:cs="Arial"/>
          <w:sz w:val="24"/>
          <w:szCs w:val="24"/>
        </w:rPr>
        <w:t>-</w:t>
      </w:r>
      <w:r w:rsidR="00E62C43">
        <w:rPr>
          <w:rFonts w:cs="Arial"/>
          <w:sz w:val="24"/>
          <w:szCs w:val="24"/>
        </w:rPr>
        <w:t>grading or a</w:t>
      </w:r>
      <w:r w:rsidR="00FE5828">
        <w:rPr>
          <w:rFonts w:cs="Arial"/>
          <w:sz w:val="24"/>
          <w:szCs w:val="24"/>
        </w:rPr>
        <w:t xml:space="preserve"> part-time member’s </w:t>
      </w:r>
      <w:r w:rsidR="000126ED">
        <w:rPr>
          <w:rFonts w:cs="Arial"/>
          <w:sz w:val="24"/>
          <w:szCs w:val="24"/>
        </w:rPr>
        <w:t xml:space="preserve">contractual </w:t>
      </w:r>
      <w:r w:rsidR="00FE5828">
        <w:rPr>
          <w:rFonts w:cs="Arial"/>
          <w:sz w:val="24"/>
          <w:szCs w:val="24"/>
        </w:rPr>
        <w:t>hours</w:t>
      </w:r>
      <w:r w:rsidR="00DB71CD">
        <w:rPr>
          <w:rFonts w:cs="Arial"/>
          <w:sz w:val="24"/>
          <w:szCs w:val="24"/>
        </w:rPr>
        <w:t xml:space="preserve"> </w:t>
      </w:r>
      <w:r w:rsidR="00FE5828">
        <w:rPr>
          <w:rFonts w:cs="Arial"/>
          <w:sz w:val="24"/>
          <w:szCs w:val="24"/>
        </w:rPr>
        <w:t>change</w:t>
      </w:r>
      <w:r w:rsidR="00E62C43">
        <w:rPr>
          <w:rFonts w:cs="Arial"/>
          <w:sz w:val="24"/>
          <w:szCs w:val="24"/>
        </w:rPr>
        <w:t>).</w:t>
      </w:r>
      <w:r w:rsidR="00FE5828">
        <w:rPr>
          <w:rFonts w:cs="Arial"/>
          <w:sz w:val="24"/>
          <w:szCs w:val="24"/>
        </w:rPr>
        <w:t xml:space="preserve"> However where such a change is not considered </w:t>
      </w:r>
      <w:r w:rsidR="001F50C5">
        <w:rPr>
          <w:rFonts w:cs="Arial"/>
          <w:sz w:val="24"/>
          <w:szCs w:val="24"/>
        </w:rPr>
        <w:t>material</w:t>
      </w:r>
      <w:r w:rsidR="00FE5828">
        <w:rPr>
          <w:rFonts w:cs="Arial"/>
          <w:sz w:val="24"/>
          <w:szCs w:val="24"/>
        </w:rPr>
        <w:t xml:space="preserve"> by the employer, </w:t>
      </w:r>
      <w:r w:rsidR="003A6550">
        <w:rPr>
          <w:rFonts w:cs="Arial"/>
          <w:sz w:val="24"/>
          <w:szCs w:val="24"/>
        </w:rPr>
        <w:t>i.e. where the</w:t>
      </w:r>
      <w:r w:rsidR="001F50C5">
        <w:rPr>
          <w:rFonts w:cs="Arial"/>
          <w:sz w:val="24"/>
          <w:szCs w:val="24"/>
        </w:rPr>
        <w:t xml:space="preserve"> change is not viewed in the context of the member’s pay as significant, the employer may decide to ignore the change and assess at the next 1st April.  </w:t>
      </w:r>
      <w:r w:rsidR="006360C0">
        <w:rPr>
          <w:rFonts w:cs="Arial"/>
          <w:sz w:val="24"/>
          <w:szCs w:val="24"/>
        </w:rPr>
        <w:t>An employer may consider</w:t>
      </w:r>
      <w:r w:rsidR="00FE5828">
        <w:rPr>
          <w:rFonts w:cs="Arial"/>
          <w:sz w:val="24"/>
          <w:szCs w:val="24"/>
        </w:rPr>
        <w:t xml:space="preserve"> frequent</w:t>
      </w:r>
      <w:r w:rsidR="003A6550">
        <w:rPr>
          <w:rFonts w:cs="Arial"/>
          <w:sz w:val="24"/>
          <w:szCs w:val="24"/>
        </w:rPr>
        <w:t xml:space="preserve"> changes</w:t>
      </w:r>
      <w:r w:rsidR="00E62C43">
        <w:rPr>
          <w:rFonts w:cs="Arial"/>
          <w:sz w:val="24"/>
          <w:szCs w:val="24"/>
        </w:rPr>
        <w:t xml:space="preserve"> of </w:t>
      </w:r>
      <w:r w:rsidR="006360C0">
        <w:rPr>
          <w:rFonts w:cs="Arial"/>
          <w:sz w:val="24"/>
          <w:szCs w:val="24"/>
        </w:rPr>
        <w:t xml:space="preserve">a member’s </w:t>
      </w:r>
      <w:r w:rsidR="00E62C43">
        <w:rPr>
          <w:rFonts w:cs="Arial"/>
          <w:sz w:val="24"/>
          <w:szCs w:val="24"/>
        </w:rPr>
        <w:t>contractual hours</w:t>
      </w:r>
      <w:r w:rsidR="001F50C5">
        <w:rPr>
          <w:rFonts w:cs="Arial"/>
          <w:sz w:val="24"/>
          <w:szCs w:val="24"/>
        </w:rPr>
        <w:t xml:space="preserve"> </w:t>
      </w:r>
      <w:r w:rsidR="00C96181">
        <w:rPr>
          <w:rFonts w:cs="Arial"/>
          <w:sz w:val="24"/>
          <w:szCs w:val="24"/>
        </w:rPr>
        <w:t xml:space="preserve">as not permanent changes </w:t>
      </w:r>
      <w:r w:rsidR="006360C0">
        <w:rPr>
          <w:rFonts w:cs="Arial"/>
          <w:sz w:val="24"/>
          <w:szCs w:val="24"/>
        </w:rPr>
        <w:t xml:space="preserve">and assess at the next 1st April </w:t>
      </w:r>
      <w:r w:rsidR="001F50C5">
        <w:rPr>
          <w:rFonts w:cs="Arial"/>
          <w:sz w:val="24"/>
          <w:szCs w:val="24"/>
        </w:rPr>
        <w:t>based on an estimate of average hours (see (c) above</w:t>
      </w:r>
      <w:r w:rsidR="00C96181">
        <w:rPr>
          <w:rFonts w:cs="Arial"/>
          <w:sz w:val="24"/>
          <w:szCs w:val="24"/>
        </w:rPr>
        <w:t>.</w:t>
      </w:r>
    </w:p>
    <w:p w:rsidR="00806086" w:rsidRDefault="00806086">
      <w:pPr>
        <w:pStyle w:val="BidBodyText"/>
        <w:tabs>
          <w:tab w:val="clear" w:pos="567"/>
          <w:tab w:val="clear" w:pos="2268"/>
        </w:tabs>
        <w:ind w:left="600" w:hanging="600"/>
        <w:jc w:val="left"/>
        <w:rPr>
          <w:rFonts w:cs="Arial"/>
          <w:sz w:val="24"/>
          <w:szCs w:val="24"/>
        </w:rPr>
      </w:pPr>
      <w:r>
        <w:rPr>
          <w:rFonts w:cs="Arial"/>
          <w:sz w:val="24"/>
          <w:szCs w:val="24"/>
        </w:rPr>
        <w:t>(</w:t>
      </w:r>
      <w:r w:rsidR="00BE04B7">
        <w:rPr>
          <w:rFonts w:cs="Arial"/>
          <w:sz w:val="24"/>
          <w:szCs w:val="24"/>
        </w:rPr>
        <w:t>l</w:t>
      </w:r>
      <w:r>
        <w:rPr>
          <w:rFonts w:cs="Arial"/>
          <w:sz w:val="24"/>
          <w:szCs w:val="24"/>
        </w:rPr>
        <w:t>)</w:t>
      </w:r>
      <w:r>
        <w:rPr>
          <w:rFonts w:cs="Arial"/>
          <w:sz w:val="24"/>
          <w:szCs w:val="24"/>
        </w:rPr>
        <w:tab/>
        <w:t>Members moving to an employment with a different employing authority, even within the same fund</w:t>
      </w:r>
      <w:r w:rsidR="00FC355E">
        <w:rPr>
          <w:rFonts w:cs="Arial"/>
          <w:sz w:val="24"/>
          <w:szCs w:val="24"/>
        </w:rPr>
        <w:t>,</w:t>
      </w:r>
      <w:r>
        <w:rPr>
          <w:rFonts w:cs="Arial"/>
          <w:sz w:val="24"/>
          <w:szCs w:val="24"/>
        </w:rPr>
        <w:t xml:space="preserve"> must have their contribution rate assessed by their new employer as if they were a new start member with that employer (see paragraph (d) above).</w:t>
      </w:r>
    </w:p>
    <w:p w:rsidR="00806086" w:rsidRDefault="00806086">
      <w:pPr>
        <w:pStyle w:val="BidBodyText"/>
        <w:tabs>
          <w:tab w:val="clear" w:pos="567"/>
        </w:tabs>
        <w:ind w:left="600" w:hanging="600"/>
        <w:jc w:val="left"/>
        <w:rPr>
          <w:rFonts w:cs="Arial"/>
          <w:sz w:val="24"/>
          <w:szCs w:val="24"/>
          <w:lang w:eastAsia="en-US"/>
        </w:rPr>
      </w:pPr>
      <w:r>
        <w:rPr>
          <w:rFonts w:cs="Arial"/>
          <w:sz w:val="24"/>
          <w:szCs w:val="24"/>
        </w:rPr>
        <w:t>(</w:t>
      </w:r>
      <w:r w:rsidR="00BE04B7">
        <w:rPr>
          <w:rFonts w:cs="Arial"/>
          <w:sz w:val="24"/>
          <w:szCs w:val="24"/>
        </w:rPr>
        <w:t>m</w:t>
      </w:r>
      <w:r>
        <w:rPr>
          <w:rFonts w:cs="Arial"/>
          <w:sz w:val="24"/>
          <w:szCs w:val="24"/>
        </w:rPr>
        <w:t>)</w:t>
      </w:r>
      <w:r>
        <w:rPr>
          <w:rFonts w:cs="Arial"/>
          <w:sz w:val="24"/>
          <w:szCs w:val="24"/>
        </w:rPr>
        <w:tab/>
        <w:t xml:space="preserve">Members returning from, Maternity Leave (no pay, </w:t>
      </w:r>
      <w:proofErr w:type="spellStart"/>
      <w:r>
        <w:rPr>
          <w:rFonts w:cs="Arial"/>
          <w:sz w:val="24"/>
          <w:szCs w:val="24"/>
        </w:rPr>
        <w:t>SMP</w:t>
      </w:r>
      <w:proofErr w:type="spellEnd"/>
      <w:r>
        <w:rPr>
          <w:rFonts w:cs="Arial"/>
          <w:sz w:val="24"/>
          <w:szCs w:val="24"/>
        </w:rPr>
        <w:t xml:space="preserve"> etc), parental leave, paternity leave, sick leave (half pay, no pay, </w:t>
      </w:r>
      <w:proofErr w:type="spellStart"/>
      <w:r>
        <w:rPr>
          <w:rFonts w:cs="Arial"/>
          <w:sz w:val="24"/>
          <w:szCs w:val="24"/>
        </w:rPr>
        <w:t>SSP</w:t>
      </w:r>
      <w:proofErr w:type="spellEnd"/>
      <w:r>
        <w:rPr>
          <w:rFonts w:cs="Arial"/>
          <w:sz w:val="24"/>
          <w:szCs w:val="24"/>
        </w:rPr>
        <w:t>) or career breaks etc in the same year must pay contributions at their original rate</w:t>
      </w:r>
      <w:r w:rsidR="00C96181">
        <w:rPr>
          <w:rFonts w:cs="Arial"/>
          <w:sz w:val="24"/>
          <w:szCs w:val="24"/>
        </w:rPr>
        <w:t>, unless the member’s contracted hours have permanently changed</w:t>
      </w:r>
      <w:r w:rsidR="008D02D0">
        <w:rPr>
          <w:rFonts w:cs="Arial"/>
          <w:sz w:val="24"/>
          <w:szCs w:val="24"/>
        </w:rPr>
        <w:t xml:space="preserve"> or their rate of pay has altered</w:t>
      </w:r>
      <w:r>
        <w:rPr>
          <w:rFonts w:cs="Arial"/>
          <w:sz w:val="24"/>
          <w:szCs w:val="24"/>
        </w:rPr>
        <w:t xml:space="preserve">. Those who go to </w:t>
      </w:r>
      <w:r w:rsidR="00FC355E">
        <w:rPr>
          <w:rFonts w:cs="Arial"/>
          <w:sz w:val="24"/>
          <w:szCs w:val="24"/>
        </w:rPr>
        <w:t>reduced</w:t>
      </w:r>
      <w:r>
        <w:rPr>
          <w:rFonts w:cs="Arial"/>
          <w:sz w:val="24"/>
          <w:szCs w:val="24"/>
        </w:rPr>
        <w:t xml:space="preserve"> pay during the year must continue to pay contributions at the rate they were placed in but on the reduced amount of pensionable pay they actually receive. When determining a contribution rate for those staff already on </w:t>
      </w:r>
      <w:r w:rsidR="00FC355E">
        <w:rPr>
          <w:rFonts w:cs="Arial"/>
          <w:sz w:val="24"/>
          <w:szCs w:val="24"/>
        </w:rPr>
        <w:t>reduced</w:t>
      </w:r>
      <w:r>
        <w:rPr>
          <w:rFonts w:cs="Arial"/>
          <w:sz w:val="24"/>
          <w:szCs w:val="24"/>
        </w:rPr>
        <w:t xml:space="preserve"> pay or no pay at </w:t>
      </w:r>
      <w:r w:rsidR="00F36E4E">
        <w:rPr>
          <w:rFonts w:cs="Arial"/>
          <w:sz w:val="24"/>
          <w:szCs w:val="24"/>
        </w:rPr>
        <w:t>1st April</w:t>
      </w:r>
      <w:r>
        <w:rPr>
          <w:rFonts w:cs="Arial"/>
          <w:sz w:val="24"/>
          <w:szCs w:val="24"/>
        </w:rPr>
        <w:t xml:space="preserve"> their contribution rate must be based on their rate of pay that would have been received</w:t>
      </w:r>
      <w:bookmarkEnd w:id="4"/>
      <w:r>
        <w:rPr>
          <w:rFonts w:cs="Arial"/>
          <w:sz w:val="24"/>
          <w:szCs w:val="24"/>
          <w:lang w:eastAsia="en-US"/>
        </w:rPr>
        <w:t xml:space="preserve"> </w:t>
      </w:r>
      <w:r w:rsidR="008D02D0">
        <w:rPr>
          <w:rFonts w:cs="Arial"/>
          <w:sz w:val="24"/>
          <w:szCs w:val="24"/>
          <w:lang w:eastAsia="en-US"/>
        </w:rPr>
        <w:t xml:space="preserve">had they not been on leave </w:t>
      </w:r>
      <w:r>
        <w:rPr>
          <w:rFonts w:cs="Arial"/>
          <w:sz w:val="24"/>
          <w:szCs w:val="24"/>
          <w:lang w:eastAsia="en-US"/>
        </w:rPr>
        <w:t>including the estimated annual value of any other pensionable allowances.</w:t>
      </w:r>
    </w:p>
    <w:p w:rsidR="00806086" w:rsidRPr="00FC355E" w:rsidRDefault="00806086">
      <w:pPr>
        <w:pStyle w:val="BidBodyText"/>
        <w:tabs>
          <w:tab w:val="clear" w:pos="567"/>
        </w:tabs>
        <w:ind w:left="600" w:hanging="600"/>
        <w:jc w:val="left"/>
        <w:rPr>
          <w:rFonts w:cs="Arial"/>
          <w:sz w:val="24"/>
          <w:szCs w:val="24"/>
          <w:lang w:eastAsia="en-US"/>
        </w:rPr>
      </w:pPr>
      <w:r>
        <w:rPr>
          <w:rFonts w:cs="Arial"/>
          <w:sz w:val="24"/>
          <w:szCs w:val="24"/>
          <w:lang w:eastAsia="en-US"/>
        </w:rPr>
        <w:t>(</w:t>
      </w:r>
      <w:r w:rsidR="00BE04B7">
        <w:rPr>
          <w:rFonts w:cs="Arial"/>
          <w:sz w:val="24"/>
          <w:szCs w:val="24"/>
          <w:lang w:eastAsia="en-US"/>
        </w:rPr>
        <w:t>n</w:t>
      </w:r>
      <w:r>
        <w:rPr>
          <w:rFonts w:cs="Arial"/>
          <w:sz w:val="24"/>
          <w:szCs w:val="24"/>
          <w:lang w:eastAsia="en-US"/>
        </w:rPr>
        <w:t>)</w:t>
      </w:r>
      <w:r>
        <w:rPr>
          <w:rFonts w:cs="Arial"/>
          <w:sz w:val="24"/>
          <w:szCs w:val="24"/>
          <w:lang w:eastAsia="en-US"/>
        </w:rPr>
        <w:tab/>
      </w:r>
      <w:r w:rsidR="00FC355E" w:rsidRPr="00FC355E">
        <w:rPr>
          <w:rFonts w:cs="Arial"/>
          <w:sz w:val="24"/>
          <w:szCs w:val="24"/>
          <w:lang w:eastAsia="en-US"/>
        </w:rPr>
        <w:t>Having determined an appropriate contribution rate, the employer must (as soon as is reasonably practicable) notify the employee of the contribution rate to be deducted from the</w:t>
      </w:r>
      <w:r w:rsidR="00FC355E">
        <w:rPr>
          <w:rFonts w:cs="Arial"/>
          <w:sz w:val="24"/>
          <w:szCs w:val="24"/>
          <w:lang w:eastAsia="en-US"/>
        </w:rPr>
        <w:t>ir</w:t>
      </w:r>
      <w:r w:rsidR="00FC355E" w:rsidRPr="00FC355E">
        <w:rPr>
          <w:rFonts w:cs="Arial"/>
          <w:sz w:val="24"/>
          <w:szCs w:val="24"/>
          <w:lang w:eastAsia="en-US"/>
        </w:rPr>
        <w:t xml:space="preserve"> pensionable pay and the date from which the rate is payable. </w:t>
      </w:r>
      <w:r w:rsidR="00FC355E">
        <w:rPr>
          <w:rFonts w:cs="Arial"/>
          <w:sz w:val="24"/>
          <w:szCs w:val="24"/>
          <w:lang w:eastAsia="en-US"/>
        </w:rPr>
        <w:t xml:space="preserve">A similar notification must also be issued to the appropriate administering authority.  </w:t>
      </w:r>
      <w:r w:rsidR="00FC355E" w:rsidRPr="00FC355E">
        <w:rPr>
          <w:rFonts w:cs="Arial"/>
          <w:sz w:val="24"/>
          <w:szCs w:val="24"/>
          <w:lang w:eastAsia="en-US"/>
        </w:rPr>
        <w:t xml:space="preserve">It is for the employer to determine the method by which the notification is given to the employee but the notification must contain a conspicuous statement giving the </w:t>
      </w:r>
      <w:r w:rsidR="00FC355E" w:rsidRPr="00FC355E">
        <w:rPr>
          <w:rFonts w:cs="Arial"/>
          <w:sz w:val="24"/>
          <w:szCs w:val="24"/>
          <w:lang w:eastAsia="en-US"/>
        </w:rPr>
        <w:lastRenderedPageBreak/>
        <w:t xml:space="preserve">address from which further information about the decision may be obtained; must notify the employee of the right to appeal to an adjudicator against the decision (which must be lodged within 6 months of being notified of the initial decision, or such longer period as the adjudicator may allow); must set out the job title and address of the adjudicator (i.e. the person who has </w:t>
      </w:r>
      <w:r w:rsidR="00336F03">
        <w:rPr>
          <w:rFonts w:cs="Arial"/>
          <w:sz w:val="24"/>
          <w:szCs w:val="24"/>
          <w:lang w:eastAsia="en-US"/>
        </w:rPr>
        <w:t xml:space="preserve">been </w:t>
      </w:r>
      <w:r w:rsidR="00FC355E" w:rsidRPr="00FC355E">
        <w:rPr>
          <w:rFonts w:cs="Arial"/>
          <w:sz w:val="24"/>
          <w:szCs w:val="24"/>
          <w:lang w:eastAsia="en-US"/>
        </w:rPr>
        <w:t>appointed to consider appeals); and must notify the employee that, if they are unhappy with the adjudicator’s decision, they would have the right to ask the Scottish Ministers, within 6 months of the adjudicator’s decision, to undertake a further review of the decision.</w:t>
      </w:r>
    </w:p>
    <w:p w:rsidR="00922565" w:rsidRDefault="00BE04B7" w:rsidP="005255DC">
      <w:pPr>
        <w:pStyle w:val="BidBodyText"/>
        <w:tabs>
          <w:tab w:val="clear" w:pos="567"/>
          <w:tab w:val="clear" w:pos="1701"/>
          <w:tab w:val="clear" w:pos="2268"/>
        </w:tabs>
        <w:ind w:left="567" w:hanging="567"/>
        <w:jc w:val="left"/>
        <w:rPr>
          <w:rFonts w:cs="Arial"/>
          <w:sz w:val="24"/>
          <w:szCs w:val="24"/>
          <w:lang w:eastAsia="en-US"/>
        </w:rPr>
      </w:pPr>
      <w:r>
        <w:rPr>
          <w:rFonts w:cs="Arial"/>
          <w:sz w:val="24"/>
          <w:szCs w:val="24"/>
          <w:lang w:eastAsia="en-US"/>
        </w:rPr>
        <w:t>(</w:t>
      </w:r>
      <w:r w:rsidR="009B18E3">
        <w:rPr>
          <w:rFonts w:cs="Arial"/>
          <w:sz w:val="24"/>
          <w:szCs w:val="24"/>
          <w:lang w:eastAsia="en-US"/>
        </w:rPr>
        <w:t>o</w:t>
      </w:r>
      <w:r>
        <w:rPr>
          <w:rFonts w:cs="Arial"/>
          <w:sz w:val="24"/>
          <w:szCs w:val="24"/>
          <w:lang w:eastAsia="en-US"/>
        </w:rPr>
        <w:t>)</w:t>
      </w:r>
      <w:r>
        <w:rPr>
          <w:rFonts w:cs="Arial"/>
          <w:sz w:val="24"/>
          <w:szCs w:val="24"/>
          <w:lang w:eastAsia="en-US"/>
        </w:rPr>
        <w:tab/>
      </w:r>
      <w:r w:rsidR="00806086">
        <w:rPr>
          <w:rFonts w:cs="Arial"/>
          <w:sz w:val="24"/>
          <w:szCs w:val="24"/>
          <w:lang w:eastAsia="en-US"/>
        </w:rPr>
        <w:t>Where a backdated pay award is received by a member, pension contributions are to be deducted from the backdated payment at the rate applicable on the date when the payment is made to the member</w:t>
      </w:r>
      <w:r w:rsidR="009B18E3">
        <w:rPr>
          <w:rFonts w:cs="Arial"/>
          <w:sz w:val="24"/>
          <w:szCs w:val="24"/>
          <w:lang w:eastAsia="en-US"/>
        </w:rPr>
        <w:t>,</w:t>
      </w:r>
      <w:r w:rsidR="00806086">
        <w:rPr>
          <w:rFonts w:cs="Arial"/>
          <w:sz w:val="24"/>
          <w:szCs w:val="24"/>
          <w:lang w:eastAsia="en-US"/>
        </w:rPr>
        <w:t xml:space="preserve"> regardless of the period to which the backdated award relates. The average contribution rate for such members is not recalculated retrospectively</w:t>
      </w:r>
      <w:r w:rsidR="004A4A66" w:rsidRPr="00336F03">
        <w:rPr>
          <w:rFonts w:cs="Arial"/>
          <w:sz w:val="24"/>
          <w:szCs w:val="24"/>
          <w:lang w:eastAsia="en-US"/>
        </w:rPr>
        <w:t>.</w:t>
      </w:r>
      <w:r w:rsidR="00336F03" w:rsidRPr="00336F03">
        <w:rPr>
          <w:sz w:val="24"/>
          <w:szCs w:val="24"/>
        </w:rPr>
        <w:t xml:space="preserve"> Note, however, that w</w:t>
      </w:r>
      <w:r w:rsidR="00336F03" w:rsidRPr="00336F03">
        <w:rPr>
          <w:rFonts w:cs="Arial"/>
          <w:sz w:val="24"/>
          <w:szCs w:val="24"/>
          <w:lang w:eastAsia="en-US"/>
        </w:rPr>
        <w:t xml:space="preserve">here a payment is made </w:t>
      </w:r>
      <w:r w:rsidR="00772DFE">
        <w:rPr>
          <w:rFonts w:cs="Arial"/>
          <w:sz w:val="24"/>
          <w:szCs w:val="24"/>
          <w:lang w:eastAsia="en-US"/>
        </w:rPr>
        <w:t xml:space="preserve">at any time </w:t>
      </w:r>
      <w:r w:rsidR="00336F03" w:rsidRPr="00336F03">
        <w:rPr>
          <w:rFonts w:cs="Arial"/>
          <w:sz w:val="24"/>
          <w:szCs w:val="24"/>
          <w:lang w:eastAsia="en-US"/>
        </w:rPr>
        <w:t xml:space="preserve">after </w:t>
      </w:r>
      <w:r w:rsidR="00772DFE">
        <w:rPr>
          <w:rFonts w:cs="Arial"/>
          <w:sz w:val="24"/>
          <w:szCs w:val="24"/>
          <w:lang w:eastAsia="en-US"/>
        </w:rPr>
        <w:t>3</w:t>
      </w:r>
      <w:r w:rsidR="00F36E4E">
        <w:rPr>
          <w:rFonts w:cs="Arial"/>
          <w:sz w:val="24"/>
          <w:szCs w:val="24"/>
          <w:lang w:eastAsia="en-US"/>
        </w:rPr>
        <w:t xml:space="preserve">1st </w:t>
      </w:r>
      <w:r w:rsidR="00772DFE">
        <w:rPr>
          <w:rFonts w:cs="Arial"/>
          <w:sz w:val="24"/>
          <w:szCs w:val="24"/>
          <w:lang w:eastAsia="en-US"/>
        </w:rPr>
        <w:t>March</w:t>
      </w:r>
      <w:r w:rsidR="00772DFE" w:rsidRPr="00336F03">
        <w:rPr>
          <w:rFonts w:cs="Arial"/>
          <w:sz w:val="24"/>
          <w:szCs w:val="24"/>
          <w:lang w:eastAsia="en-US"/>
        </w:rPr>
        <w:t xml:space="preserve"> </w:t>
      </w:r>
      <w:r w:rsidR="00336F03" w:rsidRPr="00336F03">
        <w:rPr>
          <w:rFonts w:cs="Arial"/>
          <w:sz w:val="24"/>
          <w:szCs w:val="24"/>
          <w:lang w:eastAsia="en-US"/>
        </w:rPr>
        <w:t>2015 that relates to a period prior to 1st April 2015</w:t>
      </w:r>
      <w:r w:rsidR="00336F03">
        <w:rPr>
          <w:rFonts w:cs="Arial"/>
          <w:sz w:val="24"/>
          <w:szCs w:val="24"/>
          <w:lang w:eastAsia="en-US"/>
        </w:rPr>
        <w:t>,</w:t>
      </w:r>
      <w:r w:rsidR="00336F03" w:rsidRPr="00336F03">
        <w:rPr>
          <w:rFonts w:cs="Arial"/>
          <w:sz w:val="24"/>
          <w:szCs w:val="24"/>
          <w:lang w:eastAsia="en-US"/>
        </w:rPr>
        <w:t xml:space="preserve"> the employee contribution rate under the 2009 Scheme should be applied to that pay. It is acceptable for the employer contribution rate applicable at the time of payment to be applied to the pre (and post) 2015 pensionable pay. </w:t>
      </w:r>
      <w:r w:rsidR="00336F03">
        <w:rPr>
          <w:rFonts w:cs="Arial"/>
          <w:sz w:val="24"/>
          <w:szCs w:val="24"/>
          <w:lang w:eastAsia="en-US"/>
        </w:rPr>
        <w:t>Th</w:t>
      </w:r>
      <w:r w:rsidR="00336F03" w:rsidRPr="00336F03">
        <w:rPr>
          <w:rFonts w:cs="Arial"/>
          <w:sz w:val="24"/>
          <w:szCs w:val="24"/>
          <w:lang w:eastAsia="en-US"/>
        </w:rPr>
        <w:t>e pensionable pay for the pre 2015 element should</w:t>
      </w:r>
      <w:r w:rsidR="00336F03">
        <w:rPr>
          <w:rFonts w:cs="Arial"/>
          <w:sz w:val="24"/>
          <w:szCs w:val="24"/>
          <w:lang w:eastAsia="en-US"/>
        </w:rPr>
        <w:t>, however,</w:t>
      </w:r>
      <w:r w:rsidR="00336F03" w:rsidRPr="00336F03">
        <w:rPr>
          <w:rFonts w:cs="Arial"/>
          <w:sz w:val="24"/>
          <w:szCs w:val="24"/>
          <w:lang w:eastAsia="en-US"/>
        </w:rPr>
        <w:t xml:space="preserve"> be based on the 2009 Scheme definition of pensionable pay (e.g. excluding non-contractual overtime) and not the 2015 Scheme definition of pensionable pay (which would, for example, include non-contractual overtime for overtime worked up to the hours of the standard full-time working week for the employee in that employment).</w:t>
      </w:r>
    </w:p>
    <w:p w:rsidR="00806086" w:rsidRDefault="005255DC" w:rsidP="005255DC">
      <w:pPr>
        <w:pStyle w:val="BidBodyText"/>
        <w:tabs>
          <w:tab w:val="clear" w:pos="567"/>
          <w:tab w:val="clear" w:pos="1701"/>
          <w:tab w:val="clear" w:pos="2268"/>
        </w:tabs>
        <w:ind w:left="567" w:hanging="567"/>
        <w:jc w:val="left"/>
        <w:rPr>
          <w:rFonts w:cs="Arial"/>
          <w:sz w:val="24"/>
          <w:szCs w:val="24"/>
          <w:lang w:eastAsia="en-US"/>
        </w:rPr>
      </w:pPr>
      <w:r>
        <w:rPr>
          <w:rFonts w:cs="Arial"/>
          <w:sz w:val="24"/>
          <w:szCs w:val="24"/>
          <w:lang w:eastAsia="en-US"/>
        </w:rPr>
        <w:t>(</w:t>
      </w:r>
      <w:r w:rsidR="009B18E3">
        <w:rPr>
          <w:rFonts w:cs="Arial"/>
          <w:sz w:val="24"/>
          <w:szCs w:val="24"/>
          <w:lang w:eastAsia="en-US"/>
        </w:rPr>
        <w:t>p</w:t>
      </w:r>
      <w:r>
        <w:rPr>
          <w:rFonts w:cs="Arial"/>
          <w:sz w:val="24"/>
          <w:szCs w:val="24"/>
          <w:lang w:eastAsia="en-US"/>
        </w:rPr>
        <w:t>)</w:t>
      </w:r>
      <w:r>
        <w:rPr>
          <w:rFonts w:cs="Arial"/>
          <w:sz w:val="24"/>
          <w:szCs w:val="24"/>
          <w:lang w:eastAsia="en-US"/>
        </w:rPr>
        <w:tab/>
      </w:r>
      <w:r w:rsidR="00806086">
        <w:rPr>
          <w:rFonts w:cs="Arial"/>
          <w:sz w:val="24"/>
          <w:szCs w:val="24"/>
          <w:lang w:eastAsia="en-US"/>
        </w:rPr>
        <w:t>Where a member is a variable-time employee whose pay consists entirely of fees</w:t>
      </w:r>
      <w:r w:rsidR="00772DFE">
        <w:rPr>
          <w:rFonts w:cs="Arial"/>
          <w:sz w:val="24"/>
          <w:szCs w:val="24"/>
          <w:lang w:eastAsia="en-US"/>
        </w:rPr>
        <w:t xml:space="preserve"> (e.g. a returning officer)</w:t>
      </w:r>
      <w:r w:rsidR="00806086">
        <w:rPr>
          <w:rFonts w:cs="Arial"/>
          <w:sz w:val="24"/>
          <w:szCs w:val="24"/>
          <w:lang w:eastAsia="en-US"/>
        </w:rPr>
        <w:t>, the average contribution rate will be determined by reference to Table 2 of Annex C, on each occasion a fee is paid according to the amount of fee paid.</w:t>
      </w:r>
    </w:p>
    <w:p w:rsidR="00806086" w:rsidRDefault="005255DC" w:rsidP="005255DC">
      <w:pPr>
        <w:pStyle w:val="BidBodyText"/>
        <w:tabs>
          <w:tab w:val="clear" w:pos="567"/>
          <w:tab w:val="clear" w:pos="1701"/>
          <w:tab w:val="clear" w:pos="2268"/>
        </w:tabs>
        <w:ind w:left="567" w:hanging="567"/>
        <w:jc w:val="left"/>
        <w:rPr>
          <w:rFonts w:cs="Arial"/>
          <w:sz w:val="24"/>
          <w:szCs w:val="24"/>
          <w:lang w:eastAsia="en-US"/>
        </w:rPr>
      </w:pPr>
      <w:r>
        <w:rPr>
          <w:rFonts w:cs="Arial"/>
          <w:sz w:val="24"/>
          <w:szCs w:val="24"/>
          <w:lang w:eastAsia="en-US"/>
        </w:rPr>
        <w:t>(</w:t>
      </w:r>
      <w:r w:rsidR="009B18E3">
        <w:rPr>
          <w:rFonts w:cs="Arial"/>
          <w:sz w:val="24"/>
          <w:szCs w:val="24"/>
          <w:lang w:eastAsia="en-US"/>
        </w:rPr>
        <w:t>q</w:t>
      </w:r>
      <w:r>
        <w:rPr>
          <w:rFonts w:cs="Arial"/>
          <w:sz w:val="24"/>
          <w:szCs w:val="24"/>
          <w:lang w:eastAsia="en-US"/>
        </w:rPr>
        <w:t>)</w:t>
      </w:r>
      <w:r>
        <w:rPr>
          <w:rFonts w:cs="Arial"/>
          <w:sz w:val="24"/>
          <w:szCs w:val="24"/>
          <w:lang w:eastAsia="en-US"/>
        </w:rPr>
        <w:tab/>
      </w:r>
      <w:r w:rsidR="00806086">
        <w:rPr>
          <w:rFonts w:cs="Arial"/>
          <w:sz w:val="24"/>
          <w:szCs w:val="24"/>
          <w:lang w:eastAsia="en-US"/>
        </w:rPr>
        <w:t xml:space="preserve">Where an employer fails to deduct </w:t>
      </w:r>
      <w:r w:rsidR="009B18E3">
        <w:rPr>
          <w:rFonts w:cs="Arial"/>
          <w:sz w:val="24"/>
          <w:szCs w:val="24"/>
          <w:lang w:eastAsia="en-US"/>
        </w:rPr>
        <w:t xml:space="preserve">the correct </w:t>
      </w:r>
      <w:r w:rsidR="00806086">
        <w:rPr>
          <w:rFonts w:cs="Arial"/>
          <w:sz w:val="24"/>
          <w:szCs w:val="24"/>
          <w:lang w:eastAsia="en-US"/>
        </w:rPr>
        <w:t>pension contributions from a member resulting in that member being placed in arrears of contributions, those arrears are to be calculated and deducted according to the average contribution rates that employee would have paid on his or her pensionable pay throughout the period during which those arrears accumulated.</w:t>
      </w:r>
    </w:p>
    <w:p w:rsidR="00806086" w:rsidRDefault="00806086">
      <w:pPr>
        <w:pStyle w:val="BidBodyText"/>
        <w:tabs>
          <w:tab w:val="clear" w:pos="567"/>
        </w:tabs>
        <w:ind w:left="600" w:hanging="600"/>
        <w:jc w:val="left"/>
        <w:rPr>
          <w:rFonts w:cs="Arial"/>
          <w:sz w:val="24"/>
          <w:szCs w:val="24"/>
        </w:rPr>
      </w:pPr>
      <w:r>
        <w:rPr>
          <w:rFonts w:cs="Arial"/>
          <w:sz w:val="24"/>
          <w:szCs w:val="24"/>
        </w:rPr>
        <w:t>(</w:t>
      </w:r>
      <w:r w:rsidR="009B18E3">
        <w:rPr>
          <w:rFonts w:cs="Arial"/>
          <w:sz w:val="24"/>
          <w:szCs w:val="24"/>
        </w:rPr>
        <w:t>r</w:t>
      </w:r>
      <w:r>
        <w:rPr>
          <w:rFonts w:cs="Arial"/>
          <w:sz w:val="24"/>
          <w:szCs w:val="24"/>
        </w:rPr>
        <w:t>)</w:t>
      </w:r>
      <w:r>
        <w:rPr>
          <w:rFonts w:cs="Arial"/>
          <w:b/>
          <w:sz w:val="24"/>
          <w:szCs w:val="24"/>
        </w:rPr>
        <w:tab/>
      </w:r>
      <w:r>
        <w:rPr>
          <w:rFonts w:cs="Arial"/>
          <w:sz w:val="24"/>
          <w:szCs w:val="24"/>
        </w:rPr>
        <w:t xml:space="preserve">Annex A gives more details </w:t>
      </w:r>
      <w:r w:rsidR="00611458">
        <w:rPr>
          <w:rFonts w:cs="Arial"/>
          <w:sz w:val="24"/>
          <w:szCs w:val="24"/>
        </w:rPr>
        <w:t>of how to</w:t>
      </w:r>
      <w:r>
        <w:rPr>
          <w:rFonts w:cs="Arial"/>
          <w:sz w:val="24"/>
          <w:szCs w:val="24"/>
        </w:rPr>
        <w:t xml:space="preserve"> allocat</w:t>
      </w:r>
      <w:r w:rsidR="00611458">
        <w:rPr>
          <w:rFonts w:cs="Arial"/>
          <w:sz w:val="24"/>
          <w:szCs w:val="24"/>
        </w:rPr>
        <w:t>e</w:t>
      </w:r>
      <w:r>
        <w:rPr>
          <w:rFonts w:cs="Arial"/>
          <w:sz w:val="24"/>
          <w:szCs w:val="24"/>
        </w:rPr>
        <w:t xml:space="preserve"> contribution rates each year</w:t>
      </w:r>
      <w:r w:rsidR="00611458">
        <w:rPr>
          <w:rFonts w:cs="Arial"/>
          <w:sz w:val="24"/>
          <w:szCs w:val="24"/>
        </w:rPr>
        <w:t>.</w:t>
      </w:r>
      <w:r>
        <w:rPr>
          <w:rFonts w:cs="Arial"/>
          <w:sz w:val="24"/>
          <w:szCs w:val="24"/>
        </w:rPr>
        <w:t xml:space="preserve"> Annex B is a table setting out some examples of how to calculate full year/full time pensionable pay. Annex C sets out the contribution tiers in </w:t>
      </w:r>
      <w:r w:rsidR="00611458">
        <w:rPr>
          <w:rFonts w:cs="Arial"/>
          <w:sz w:val="24"/>
          <w:szCs w:val="24"/>
        </w:rPr>
        <w:t>T</w:t>
      </w:r>
      <w:r>
        <w:rPr>
          <w:rFonts w:cs="Arial"/>
          <w:sz w:val="24"/>
          <w:szCs w:val="24"/>
        </w:rPr>
        <w:t xml:space="preserve">able 1 while </w:t>
      </w:r>
      <w:r w:rsidR="00611458">
        <w:rPr>
          <w:rFonts w:cs="Arial"/>
          <w:sz w:val="24"/>
          <w:szCs w:val="24"/>
        </w:rPr>
        <w:t>T</w:t>
      </w:r>
      <w:r>
        <w:rPr>
          <w:rFonts w:cs="Arial"/>
          <w:sz w:val="24"/>
          <w:szCs w:val="24"/>
        </w:rPr>
        <w:t xml:space="preserve">able 2 provides details of average contribution rates to be applied within certain pay ranges. </w:t>
      </w:r>
      <w:bookmarkStart w:id="5" w:name="_Toc187556863"/>
      <w:bookmarkEnd w:id="2"/>
    </w:p>
    <w:p w:rsidR="00CC608B" w:rsidRDefault="00CC608B">
      <w:pPr>
        <w:pStyle w:val="BidBodyText"/>
        <w:tabs>
          <w:tab w:val="clear" w:pos="567"/>
        </w:tabs>
        <w:ind w:left="600" w:hanging="600"/>
        <w:jc w:val="left"/>
        <w:rPr>
          <w:rFonts w:cs="Arial"/>
          <w:sz w:val="24"/>
          <w:szCs w:val="24"/>
        </w:rPr>
      </w:pPr>
      <w:r>
        <w:rPr>
          <w:rFonts w:cs="Arial"/>
          <w:sz w:val="24"/>
          <w:szCs w:val="24"/>
        </w:rPr>
        <w:t>(s)</w:t>
      </w:r>
      <w:r>
        <w:rPr>
          <w:rFonts w:cs="Arial"/>
          <w:sz w:val="24"/>
          <w:szCs w:val="24"/>
        </w:rPr>
        <w:tab/>
      </w:r>
      <w:r w:rsidR="00D54C80">
        <w:rPr>
          <w:rFonts w:cs="Arial"/>
          <w:sz w:val="24"/>
          <w:szCs w:val="24"/>
        </w:rPr>
        <w:t xml:space="preserve">Where the member has chosen the 50/50 </w:t>
      </w:r>
      <w:r w:rsidR="000328C0">
        <w:rPr>
          <w:rFonts w:cs="Arial"/>
          <w:sz w:val="24"/>
          <w:szCs w:val="24"/>
        </w:rPr>
        <w:t xml:space="preserve">section </w:t>
      </w:r>
      <w:r w:rsidR="00D54C80">
        <w:rPr>
          <w:rFonts w:cs="Arial"/>
          <w:sz w:val="24"/>
          <w:szCs w:val="24"/>
        </w:rPr>
        <w:t>option</w:t>
      </w:r>
      <w:r w:rsidR="00DD3FB0">
        <w:rPr>
          <w:rFonts w:cs="Arial"/>
          <w:sz w:val="24"/>
          <w:szCs w:val="24"/>
        </w:rPr>
        <w:t xml:space="preserve">, assessment should be as for </w:t>
      </w:r>
      <w:r w:rsidR="000328C0">
        <w:rPr>
          <w:rFonts w:cs="Arial"/>
          <w:sz w:val="24"/>
          <w:szCs w:val="24"/>
        </w:rPr>
        <w:t xml:space="preserve">members in the </w:t>
      </w:r>
      <w:r w:rsidR="00DD3FB0">
        <w:rPr>
          <w:rFonts w:cs="Arial"/>
          <w:sz w:val="24"/>
          <w:szCs w:val="24"/>
        </w:rPr>
        <w:t xml:space="preserve">main </w:t>
      </w:r>
      <w:r w:rsidR="000328C0">
        <w:rPr>
          <w:rFonts w:cs="Arial"/>
          <w:sz w:val="24"/>
          <w:szCs w:val="24"/>
        </w:rPr>
        <w:t xml:space="preserve">section of the </w:t>
      </w:r>
      <w:r w:rsidR="00DD3FB0">
        <w:rPr>
          <w:rFonts w:cs="Arial"/>
          <w:sz w:val="24"/>
          <w:szCs w:val="24"/>
        </w:rPr>
        <w:t>scheme but the rate from Table 2 should be halved</w:t>
      </w:r>
      <w:r w:rsidR="0005703C">
        <w:rPr>
          <w:rFonts w:cs="Arial"/>
          <w:sz w:val="24"/>
          <w:szCs w:val="24"/>
        </w:rPr>
        <w:t>. Elections</w:t>
      </w:r>
      <w:r w:rsidR="00922565">
        <w:rPr>
          <w:rFonts w:cs="Arial"/>
          <w:sz w:val="24"/>
          <w:szCs w:val="24"/>
        </w:rPr>
        <w:t xml:space="preserve"> take effect from the beginning of the next available pay period following </w:t>
      </w:r>
      <w:r w:rsidR="0005703C">
        <w:rPr>
          <w:rFonts w:cs="Arial"/>
          <w:sz w:val="24"/>
          <w:szCs w:val="24"/>
        </w:rPr>
        <w:t xml:space="preserve">the member’s </w:t>
      </w:r>
      <w:r w:rsidR="00922565">
        <w:rPr>
          <w:rFonts w:cs="Arial"/>
          <w:sz w:val="24"/>
          <w:szCs w:val="24"/>
        </w:rPr>
        <w:t>election.</w:t>
      </w:r>
      <w:r w:rsidR="007F4487">
        <w:rPr>
          <w:rFonts w:cs="Arial"/>
          <w:sz w:val="24"/>
          <w:szCs w:val="24"/>
        </w:rPr>
        <w:t xml:space="preserve"> An election to cancel a 50/50 option also takes effect from the beginning of the next available pay period following the cancellation election.</w:t>
      </w:r>
    </w:p>
    <w:p w:rsidR="00806086" w:rsidRDefault="00922565">
      <w:pPr>
        <w:pStyle w:val="BidBodyText"/>
        <w:tabs>
          <w:tab w:val="clear" w:pos="567"/>
        </w:tabs>
        <w:ind w:left="600" w:hanging="600"/>
        <w:jc w:val="left"/>
        <w:rPr>
          <w:rFonts w:cs="Arial"/>
          <w:sz w:val="24"/>
          <w:szCs w:val="24"/>
        </w:rPr>
      </w:pPr>
      <w:r>
        <w:rPr>
          <w:rFonts w:cs="Arial"/>
          <w:sz w:val="24"/>
          <w:szCs w:val="24"/>
        </w:rPr>
        <w:t>(t)</w:t>
      </w:r>
      <w:r>
        <w:rPr>
          <w:rFonts w:cs="Arial"/>
          <w:sz w:val="24"/>
          <w:szCs w:val="24"/>
        </w:rPr>
        <w:tab/>
      </w:r>
      <w:r w:rsidR="007F4487">
        <w:rPr>
          <w:rFonts w:cs="Arial"/>
          <w:sz w:val="24"/>
          <w:szCs w:val="24"/>
        </w:rPr>
        <w:t>50/50 O</w:t>
      </w:r>
      <w:r>
        <w:rPr>
          <w:rFonts w:cs="Arial"/>
          <w:sz w:val="24"/>
          <w:szCs w:val="24"/>
        </w:rPr>
        <w:t xml:space="preserve">ptants should be put back into the main section </w:t>
      </w:r>
      <w:r w:rsidR="007F4487">
        <w:rPr>
          <w:rFonts w:cs="Arial"/>
          <w:sz w:val="24"/>
          <w:szCs w:val="24"/>
        </w:rPr>
        <w:t xml:space="preserve">from the beginning of the next pay period after </w:t>
      </w:r>
      <w:r>
        <w:rPr>
          <w:rFonts w:cs="Arial"/>
          <w:sz w:val="24"/>
          <w:szCs w:val="24"/>
        </w:rPr>
        <w:t xml:space="preserve">going </w:t>
      </w:r>
      <w:r w:rsidR="007F4487">
        <w:rPr>
          <w:rFonts w:cs="Arial"/>
          <w:sz w:val="24"/>
          <w:szCs w:val="24"/>
        </w:rPr>
        <w:t>onto nil pay due to sickness, injury or ordinary maternity, paternity or adoption leave.</w:t>
      </w:r>
      <w:r>
        <w:rPr>
          <w:rFonts w:cs="Arial"/>
          <w:sz w:val="24"/>
          <w:szCs w:val="24"/>
        </w:rPr>
        <w:t xml:space="preserve"> </w:t>
      </w:r>
      <w:r w:rsidR="007F4487">
        <w:rPr>
          <w:rFonts w:cs="Arial"/>
          <w:sz w:val="24"/>
          <w:szCs w:val="24"/>
        </w:rPr>
        <w:t xml:space="preserve">They should also be put into the main section </w:t>
      </w:r>
      <w:r w:rsidR="00822264">
        <w:rPr>
          <w:rFonts w:cs="Arial"/>
          <w:sz w:val="24"/>
          <w:szCs w:val="24"/>
        </w:rPr>
        <w:t xml:space="preserve">from the beginning of the next available pay period following the employers’ automatic re-enrolment date regardless of what category of worker they are. </w:t>
      </w:r>
    </w:p>
    <w:p w:rsidR="00806086" w:rsidRDefault="00806086">
      <w:pPr>
        <w:pStyle w:val="BidBodyText"/>
        <w:tabs>
          <w:tab w:val="clear" w:pos="567"/>
        </w:tabs>
        <w:ind w:left="600" w:hanging="600"/>
        <w:jc w:val="left"/>
        <w:rPr>
          <w:rFonts w:cs="Arial"/>
          <w:sz w:val="24"/>
          <w:szCs w:val="24"/>
        </w:rPr>
        <w:sectPr w:rsidR="00806086">
          <w:headerReference w:type="default" r:id="rId14"/>
          <w:type w:val="continuous"/>
          <w:pgSz w:w="11906" w:h="16838" w:code="9"/>
          <w:pgMar w:top="964" w:right="1134" w:bottom="1259" w:left="1134" w:header="720" w:footer="720" w:gutter="0"/>
          <w:cols w:space="708"/>
          <w:titlePg/>
          <w:docGrid w:linePitch="360"/>
        </w:sectPr>
      </w:pPr>
    </w:p>
    <w:p w:rsidR="00806086" w:rsidRDefault="00806086">
      <w:pPr>
        <w:pStyle w:val="BidBodyText"/>
        <w:tabs>
          <w:tab w:val="clear" w:pos="567"/>
        </w:tabs>
        <w:ind w:left="984" w:hanging="528"/>
        <w:jc w:val="right"/>
        <w:rPr>
          <w:rFonts w:cs="Arial"/>
          <w:b/>
          <w:sz w:val="28"/>
          <w:szCs w:val="28"/>
        </w:rPr>
      </w:pPr>
      <w:r>
        <w:rPr>
          <w:rFonts w:cs="Arial"/>
          <w:b/>
          <w:sz w:val="28"/>
          <w:szCs w:val="28"/>
        </w:rPr>
        <w:lastRenderedPageBreak/>
        <w:t>Annex A</w:t>
      </w:r>
    </w:p>
    <w:p w:rsidR="00806086" w:rsidRDefault="00806086">
      <w:pPr>
        <w:pStyle w:val="BidBodyText"/>
        <w:tabs>
          <w:tab w:val="clear" w:pos="567"/>
        </w:tabs>
        <w:ind w:left="984" w:hanging="528"/>
        <w:jc w:val="right"/>
        <w:rPr>
          <w:rFonts w:cs="Arial"/>
          <w:sz w:val="28"/>
          <w:szCs w:val="28"/>
        </w:rPr>
      </w:pPr>
    </w:p>
    <w:p w:rsidR="00806086" w:rsidRDefault="00806086">
      <w:pPr>
        <w:tabs>
          <w:tab w:val="clear" w:pos="720"/>
          <w:tab w:val="left" w:pos="408"/>
        </w:tabs>
        <w:rPr>
          <w:rFonts w:cs="Arial"/>
          <w:b/>
          <w:szCs w:val="24"/>
          <w:u w:val="single"/>
        </w:rPr>
      </w:pPr>
      <w:r>
        <w:rPr>
          <w:rFonts w:cs="Arial"/>
          <w:b/>
          <w:szCs w:val="24"/>
        </w:rPr>
        <w:t>1.</w:t>
      </w:r>
      <w:r>
        <w:rPr>
          <w:rFonts w:cs="Arial"/>
          <w:b/>
          <w:szCs w:val="24"/>
        </w:rPr>
        <w:tab/>
      </w:r>
      <w:r w:rsidRPr="003538C1">
        <w:rPr>
          <w:rFonts w:cs="Arial"/>
          <w:b/>
          <w:szCs w:val="24"/>
          <w:u w:val="single"/>
        </w:rPr>
        <w:t>Allocation</w:t>
      </w:r>
      <w:bookmarkEnd w:id="5"/>
      <w:r w:rsidRPr="003538C1">
        <w:rPr>
          <w:rFonts w:cs="Arial"/>
          <w:b/>
          <w:szCs w:val="24"/>
          <w:u w:val="single"/>
        </w:rPr>
        <w:t xml:space="preserve"> for </w:t>
      </w:r>
      <w:r w:rsidR="003538C1" w:rsidRPr="003538C1">
        <w:rPr>
          <w:rFonts w:cs="Arial"/>
          <w:b/>
          <w:szCs w:val="24"/>
          <w:u w:val="single"/>
        </w:rPr>
        <w:t>e</w:t>
      </w:r>
      <w:r w:rsidRPr="003538C1">
        <w:rPr>
          <w:rFonts w:cs="Arial"/>
          <w:b/>
          <w:szCs w:val="24"/>
          <w:u w:val="single"/>
        </w:rPr>
        <w:t xml:space="preserve">xisting </w:t>
      </w:r>
      <w:r w:rsidR="003538C1" w:rsidRPr="003538C1">
        <w:rPr>
          <w:rFonts w:cs="Arial"/>
          <w:b/>
          <w:szCs w:val="24"/>
          <w:u w:val="single"/>
        </w:rPr>
        <w:t>m</w:t>
      </w:r>
      <w:r w:rsidRPr="003538C1">
        <w:rPr>
          <w:rFonts w:cs="Arial"/>
          <w:b/>
          <w:szCs w:val="24"/>
          <w:u w:val="single"/>
        </w:rPr>
        <w:t>embers</w:t>
      </w:r>
    </w:p>
    <w:p w:rsidR="00806086" w:rsidRDefault="00806086">
      <w:pPr>
        <w:rPr>
          <w:rFonts w:cs="Arial"/>
          <w:b/>
          <w:szCs w:val="24"/>
        </w:rPr>
      </w:pPr>
    </w:p>
    <w:p w:rsidR="00806086" w:rsidRDefault="00806086">
      <w:pPr>
        <w:rPr>
          <w:rFonts w:cs="Arial"/>
          <w:szCs w:val="24"/>
        </w:rPr>
      </w:pPr>
      <w:r>
        <w:rPr>
          <w:rFonts w:cs="Arial"/>
          <w:szCs w:val="24"/>
        </w:rPr>
        <w:t xml:space="preserve">The allocation of members to contribution rates is based on pensionable pay at each </w:t>
      </w:r>
      <w:r w:rsidR="00F36E4E">
        <w:rPr>
          <w:rFonts w:cs="Arial"/>
          <w:szCs w:val="24"/>
        </w:rPr>
        <w:t>1st April</w:t>
      </w:r>
      <w:r>
        <w:rPr>
          <w:rFonts w:cs="Arial"/>
          <w:szCs w:val="24"/>
        </w:rPr>
        <w:t>.</w:t>
      </w:r>
    </w:p>
    <w:p w:rsidR="00806086" w:rsidRDefault="00806086">
      <w:pPr>
        <w:rPr>
          <w:rFonts w:cs="Arial"/>
          <w:szCs w:val="24"/>
        </w:rPr>
      </w:pPr>
    </w:p>
    <w:p w:rsidR="00806086" w:rsidRDefault="00806086">
      <w:pPr>
        <w:rPr>
          <w:rFonts w:cs="Arial"/>
          <w:b/>
          <w:szCs w:val="24"/>
        </w:rPr>
      </w:pPr>
      <w:r>
        <w:rPr>
          <w:rFonts w:cs="Arial"/>
          <w:b/>
          <w:szCs w:val="24"/>
        </w:rPr>
        <w:t>General Principle:</w:t>
      </w:r>
    </w:p>
    <w:p w:rsidR="00806086" w:rsidRDefault="00806086">
      <w:pPr>
        <w:rPr>
          <w:rFonts w:cs="Arial"/>
          <w:b/>
          <w:szCs w:val="24"/>
        </w:rPr>
      </w:pPr>
    </w:p>
    <w:p w:rsidR="00806086" w:rsidRDefault="00806086">
      <w:pPr>
        <w:rPr>
          <w:rFonts w:cs="Arial"/>
          <w:szCs w:val="24"/>
        </w:rPr>
      </w:pPr>
      <w:r>
        <w:rPr>
          <w:rFonts w:cs="Arial"/>
          <w:szCs w:val="24"/>
        </w:rPr>
        <w:t xml:space="preserve">Members who are employed at the start of each new </w:t>
      </w:r>
      <w:r w:rsidR="006F0710">
        <w:rPr>
          <w:rFonts w:cs="Arial"/>
          <w:szCs w:val="24"/>
        </w:rPr>
        <w:t xml:space="preserve">scheme </w:t>
      </w:r>
      <w:r>
        <w:rPr>
          <w:rFonts w:cs="Arial"/>
          <w:szCs w:val="24"/>
        </w:rPr>
        <w:t xml:space="preserve">year and who were in pensionable employment at the end of the previous </w:t>
      </w:r>
      <w:r w:rsidR="006F0710">
        <w:rPr>
          <w:rFonts w:cs="Arial"/>
          <w:szCs w:val="24"/>
        </w:rPr>
        <w:t xml:space="preserve">scheme </w:t>
      </w:r>
      <w:r>
        <w:rPr>
          <w:rFonts w:cs="Arial"/>
          <w:szCs w:val="24"/>
        </w:rPr>
        <w:t>year must have their contribution rate</w:t>
      </w:r>
      <w:r w:rsidR="00302F28">
        <w:rPr>
          <w:rFonts w:cs="Arial"/>
          <w:szCs w:val="24"/>
        </w:rPr>
        <w:t xml:space="preserve"> (for either the main or 50/50 sections of the scheme) </w:t>
      </w:r>
      <w:r>
        <w:rPr>
          <w:rFonts w:cs="Arial"/>
          <w:szCs w:val="24"/>
        </w:rPr>
        <w:t xml:space="preserve">set according to the </w:t>
      </w:r>
      <w:r w:rsidR="00155362">
        <w:rPr>
          <w:rFonts w:cs="Arial"/>
          <w:szCs w:val="24"/>
        </w:rPr>
        <w:t xml:space="preserve">annual </w:t>
      </w:r>
      <w:r>
        <w:rPr>
          <w:rFonts w:cs="Arial"/>
          <w:szCs w:val="24"/>
        </w:rPr>
        <w:t xml:space="preserve">rate of pensionable pay they received on </w:t>
      </w:r>
      <w:r w:rsidR="00F36E4E">
        <w:rPr>
          <w:rFonts w:cs="Arial"/>
          <w:szCs w:val="24"/>
        </w:rPr>
        <w:t>1st April</w:t>
      </w:r>
      <w:r w:rsidR="006F0710">
        <w:rPr>
          <w:rFonts w:cs="Arial"/>
          <w:szCs w:val="24"/>
        </w:rPr>
        <w:t>.</w:t>
      </w:r>
      <w:r>
        <w:rPr>
          <w:rFonts w:cs="Arial"/>
          <w:szCs w:val="24"/>
        </w:rPr>
        <w:t xml:space="preserve"> </w:t>
      </w:r>
      <w:r w:rsidR="006F0710">
        <w:rPr>
          <w:rFonts w:cs="Arial"/>
          <w:szCs w:val="24"/>
        </w:rPr>
        <w:t>For members with variable payments / allowances or fluctuating hours, employers should include an estimate of the annual rate of such payments in their calculation of the rate of pensionable pay.  Employers may, in the absence of or in preference to any other justifiable and reasonable method, base such an estimate on the average of payments over a year (or any other period the employer considers reasonable). Once set, the contribution rate for the remainder of that year will not be adjusted to reflect the actual value of those variable payments.</w:t>
      </w:r>
    </w:p>
    <w:p w:rsidR="00806086" w:rsidRDefault="00806086">
      <w:pPr>
        <w:rPr>
          <w:rFonts w:cs="Arial"/>
          <w:szCs w:val="24"/>
        </w:rPr>
      </w:pPr>
    </w:p>
    <w:p w:rsidR="00806086" w:rsidRDefault="00A14D8D">
      <w:pPr>
        <w:rPr>
          <w:rFonts w:cs="Arial"/>
          <w:szCs w:val="24"/>
        </w:rPr>
      </w:pPr>
      <w:r w:rsidRPr="00A14D8D">
        <w:rPr>
          <w:rFonts w:cs="Arial"/>
          <w:szCs w:val="24"/>
        </w:rPr>
        <w:t>Any reductions in pensionable pay due to sickness, child related leave, reserve forces service leave or other absence from work are to be disregarded when determining the level of pensionable pay for the purposes of assessing / reviewing the appropriate contribution rate.</w:t>
      </w:r>
    </w:p>
    <w:p w:rsidR="00806086" w:rsidRDefault="00806086">
      <w:pPr>
        <w:rPr>
          <w:rFonts w:cs="Arial"/>
          <w:szCs w:val="24"/>
        </w:rPr>
      </w:pPr>
    </w:p>
    <w:p w:rsidR="00806086" w:rsidRDefault="00806086">
      <w:pPr>
        <w:rPr>
          <w:rFonts w:cs="Arial"/>
          <w:b/>
          <w:szCs w:val="24"/>
          <w:u w:val="single"/>
        </w:rPr>
      </w:pPr>
      <w:r>
        <w:rPr>
          <w:rFonts w:cs="Arial"/>
          <w:b/>
          <w:szCs w:val="24"/>
          <w:u w:val="single"/>
        </w:rPr>
        <w:t>Scenarios:</w:t>
      </w:r>
    </w:p>
    <w:p w:rsidR="00806086" w:rsidRDefault="00806086">
      <w:pPr>
        <w:ind w:left="720"/>
        <w:rPr>
          <w:rFonts w:cs="Arial"/>
          <w:szCs w:val="24"/>
        </w:rPr>
      </w:pPr>
    </w:p>
    <w:p w:rsidR="00806086" w:rsidRDefault="00806086">
      <w:pPr>
        <w:tabs>
          <w:tab w:val="clear" w:pos="720"/>
        </w:tabs>
        <w:ind w:left="408" w:hanging="408"/>
        <w:rPr>
          <w:rFonts w:cs="Arial"/>
          <w:szCs w:val="24"/>
        </w:rPr>
      </w:pPr>
      <w:r>
        <w:rPr>
          <w:rFonts w:cs="Arial"/>
          <w:szCs w:val="24"/>
        </w:rPr>
        <w:t>A.</w:t>
      </w:r>
      <w:r>
        <w:rPr>
          <w:rFonts w:cs="Arial"/>
          <w:szCs w:val="24"/>
        </w:rPr>
        <w:tab/>
        <w:t xml:space="preserve">Member is full time on </w:t>
      </w:r>
      <w:r w:rsidR="00F36E4E">
        <w:rPr>
          <w:rFonts w:cs="Arial"/>
          <w:szCs w:val="24"/>
        </w:rPr>
        <w:t>1 April</w:t>
      </w:r>
      <w:r>
        <w:rPr>
          <w:rFonts w:cs="Arial"/>
          <w:szCs w:val="24"/>
        </w:rPr>
        <w:t xml:space="preserve">. Contribution rate is set according to the rate of pensionable pay applicable on </w:t>
      </w:r>
      <w:r w:rsidR="00F36E4E">
        <w:rPr>
          <w:rFonts w:cs="Arial"/>
          <w:szCs w:val="24"/>
        </w:rPr>
        <w:t>1st April</w:t>
      </w:r>
      <w:r>
        <w:rPr>
          <w:rFonts w:cs="Arial"/>
          <w:szCs w:val="24"/>
        </w:rPr>
        <w:t xml:space="preserve"> for the next </w:t>
      </w:r>
      <w:r w:rsidR="00494F28">
        <w:rPr>
          <w:rFonts w:cs="Arial"/>
          <w:szCs w:val="24"/>
        </w:rPr>
        <w:t>scheme</w:t>
      </w:r>
      <w:r>
        <w:rPr>
          <w:rFonts w:cs="Arial"/>
          <w:szCs w:val="24"/>
        </w:rPr>
        <w:t xml:space="preserve"> year while with that same employing authority. </w:t>
      </w:r>
    </w:p>
    <w:p w:rsidR="00806086" w:rsidRDefault="00806086">
      <w:pPr>
        <w:ind w:left="408" w:hanging="408"/>
        <w:rPr>
          <w:rFonts w:cs="Arial"/>
          <w:szCs w:val="24"/>
        </w:rPr>
      </w:pPr>
    </w:p>
    <w:p w:rsidR="00806086" w:rsidRDefault="00806086">
      <w:pPr>
        <w:ind w:left="408" w:hanging="408"/>
        <w:rPr>
          <w:rFonts w:cs="Arial"/>
          <w:szCs w:val="24"/>
        </w:rPr>
      </w:pPr>
      <w:r>
        <w:rPr>
          <w:rFonts w:cs="Arial"/>
          <w:szCs w:val="24"/>
        </w:rPr>
        <w:t>B.</w:t>
      </w:r>
      <w:r>
        <w:rPr>
          <w:rFonts w:cs="Arial"/>
          <w:szCs w:val="24"/>
        </w:rPr>
        <w:tab/>
        <w:t xml:space="preserve">Member is part time on </w:t>
      </w:r>
      <w:r w:rsidR="00F36E4E">
        <w:rPr>
          <w:rFonts w:cs="Arial"/>
          <w:szCs w:val="24"/>
        </w:rPr>
        <w:t>1 April</w:t>
      </w:r>
      <w:r>
        <w:rPr>
          <w:rFonts w:cs="Arial"/>
          <w:szCs w:val="24"/>
        </w:rPr>
        <w:t xml:space="preserve">. Contribution rate must be set according to the rate of pensionable pay applicable on </w:t>
      </w:r>
      <w:r w:rsidR="00F36E4E">
        <w:rPr>
          <w:rFonts w:cs="Arial"/>
          <w:szCs w:val="24"/>
        </w:rPr>
        <w:t>1st April</w:t>
      </w:r>
      <w:r>
        <w:rPr>
          <w:rFonts w:cs="Arial"/>
          <w:szCs w:val="24"/>
        </w:rPr>
        <w:t>.</w:t>
      </w:r>
      <w:r w:rsidR="00AC74F7">
        <w:rPr>
          <w:rFonts w:cs="Arial"/>
          <w:szCs w:val="24"/>
        </w:rPr>
        <w:t xml:space="preserve"> Pay for any additional </w:t>
      </w:r>
      <w:r w:rsidR="00A14D8D">
        <w:rPr>
          <w:rFonts w:cs="Arial"/>
          <w:szCs w:val="24"/>
        </w:rPr>
        <w:t xml:space="preserve">pensionable </w:t>
      </w:r>
      <w:r w:rsidR="00AC74F7">
        <w:rPr>
          <w:rFonts w:cs="Arial"/>
          <w:szCs w:val="24"/>
        </w:rPr>
        <w:t>hours worked over and above the member’s standard hours during the year must be included</w:t>
      </w:r>
      <w:r w:rsidR="009C580A">
        <w:rPr>
          <w:rFonts w:cs="Arial"/>
          <w:szCs w:val="24"/>
        </w:rPr>
        <w:t xml:space="preserve"> by calculating the product of the annual average additional hours worked and the appropriate rate of pay at </w:t>
      </w:r>
      <w:r w:rsidR="00F36E4E">
        <w:rPr>
          <w:rFonts w:cs="Arial"/>
          <w:szCs w:val="24"/>
        </w:rPr>
        <w:t>1st April</w:t>
      </w:r>
      <w:r w:rsidR="00AC74F7">
        <w:rPr>
          <w:rFonts w:cs="Arial"/>
          <w:szCs w:val="24"/>
        </w:rPr>
        <w:t xml:space="preserve">. </w:t>
      </w:r>
      <w:r>
        <w:rPr>
          <w:rFonts w:cs="Arial"/>
          <w:szCs w:val="24"/>
        </w:rPr>
        <w:t xml:space="preserve"> </w:t>
      </w:r>
    </w:p>
    <w:p w:rsidR="00AA3969" w:rsidRDefault="00AA3969">
      <w:pPr>
        <w:ind w:left="408" w:hanging="408"/>
        <w:rPr>
          <w:rFonts w:cs="Arial"/>
          <w:szCs w:val="24"/>
        </w:rPr>
      </w:pPr>
    </w:p>
    <w:p w:rsidR="00806086" w:rsidRDefault="00806086">
      <w:pPr>
        <w:ind w:left="408" w:hanging="408"/>
        <w:rPr>
          <w:rFonts w:cs="Arial"/>
          <w:szCs w:val="24"/>
        </w:rPr>
      </w:pPr>
      <w:r>
        <w:rPr>
          <w:rFonts w:cs="Arial"/>
          <w:szCs w:val="24"/>
        </w:rPr>
        <w:t>C.</w:t>
      </w:r>
      <w:r>
        <w:rPr>
          <w:rFonts w:cs="Arial"/>
          <w:szCs w:val="24"/>
        </w:rPr>
        <w:tab/>
        <w:t xml:space="preserve">Member has worked a combination of full time and part time continuously throughout the </w:t>
      </w:r>
      <w:r w:rsidR="009B04EA">
        <w:rPr>
          <w:rFonts w:cs="Arial"/>
          <w:szCs w:val="24"/>
        </w:rPr>
        <w:t xml:space="preserve">scheme </w:t>
      </w:r>
      <w:r>
        <w:rPr>
          <w:rFonts w:cs="Arial"/>
          <w:szCs w:val="24"/>
        </w:rPr>
        <w:t xml:space="preserve">year.  Contribution rate must be set according to the rate of pensionable pay that the member received on </w:t>
      </w:r>
      <w:r w:rsidR="00F36E4E">
        <w:rPr>
          <w:rFonts w:cs="Arial"/>
          <w:szCs w:val="24"/>
        </w:rPr>
        <w:t>1st April</w:t>
      </w:r>
      <w:r>
        <w:rPr>
          <w:rFonts w:cs="Arial"/>
          <w:szCs w:val="24"/>
        </w:rPr>
        <w:t xml:space="preserve">.  That is, if the member were part time on </w:t>
      </w:r>
      <w:r w:rsidR="00F36E4E">
        <w:rPr>
          <w:rFonts w:cs="Arial"/>
          <w:szCs w:val="24"/>
        </w:rPr>
        <w:t>1st April</w:t>
      </w:r>
      <w:r>
        <w:rPr>
          <w:rFonts w:cs="Arial"/>
          <w:szCs w:val="24"/>
        </w:rPr>
        <w:t xml:space="preserve">, the rate would be determined according to the </w:t>
      </w:r>
      <w:r w:rsidR="00155362">
        <w:rPr>
          <w:rFonts w:cs="Arial"/>
          <w:szCs w:val="24"/>
        </w:rPr>
        <w:t>actual rate of</w:t>
      </w:r>
      <w:r>
        <w:rPr>
          <w:rFonts w:cs="Arial"/>
          <w:szCs w:val="24"/>
        </w:rPr>
        <w:t xml:space="preserve"> pay</w:t>
      </w:r>
      <w:r w:rsidR="00155362">
        <w:rPr>
          <w:rFonts w:cs="Arial"/>
          <w:szCs w:val="24"/>
        </w:rPr>
        <w:t xml:space="preserve"> on that date</w:t>
      </w:r>
      <w:r>
        <w:rPr>
          <w:rFonts w:cs="Arial"/>
          <w:szCs w:val="24"/>
        </w:rPr>
        <w:t xml:space="preserve">.   </w:t>
      </w:r>
    </w:p>
    <w:p w:rsidR="00806086" w:rsidRDefault="00EF617F">
      <w:pPr>
        <w:tabs>
          <w:tab w:val="clear" w:pos="720"/>
          <w:tab w:val="left" w:pos="432"/>
        </w:tabs>
        <w:rPr>
          <w:rFonts w:cs="Arial"/>
          <w:b/>
          <w:szCs w:val="24"/>
          <w:u w:val="single"/>
        </w:rPr>
      </w:pPr>
      <w:r>
        <w:rPr>
          <w:rFonts w:cs="Arial"/>
          <w:b/>
          <w:szCs w:val="24"/>
        </w:rPr>
        <w:br w:type="page"/>
      </w:r>
      <w:r w:rsidR="00806086">
        <w:rPr>
          <w:rFonts w:cs="Arial"/>
          <w:b/>
          <w:szCs w:val="24"/>
        </w:rPr>
        <w:lastRenderedPageBreak/>
        <w:t>2.</w:t>
      </w:r>
      <w:r w:rsidR="00806086">
        <w:rPr>
          <w:rFonts w:cs="Arial"/>
          <w:b/>
          <w:szCs w:val="24"/>
        </w:rPr>
        <w:tab/>
      </w:r>
      <w:r w:rsidR="00806086" w:rsidRPr="003538C1">
        <w:rPr>
          <w:rFonts w:cs="Arial"/>
          <w:b/>
          <w:szCs w:val="24"/>
          <w:u w:val="single"/>
        </w:rPr>
        <w:t xml:space="preserve">Allocation for </w:t>
      </w:r>
      <w:r w:rsidR="003538C1">
        <w:rPr>
          <w:rFonts w:cs="Arial"/>
          <w:b/>
          <w:szCs w:val="24"/>
          <w:u w:val="single"/>
        </w:rPr>
        <w:t>new m</w:t>
      </w:r>
      <w:r w:rsidR="00806086" w:rsidRPr="003538C1">
        <w:rPr>
          <w:rFonts w:cs="Arial"/>
          <w:b/>
          <w:szCs w:val="24"/>
          <w:u w:val="single"/>
        </w:rPr>
        <w:t xml:space="preserve">embers </w:t>
      </w:r>
      <w:r w:rsidR="00A7449E" w:rsidRPr="003538C1">
        <w:rPr>
          <w:rFonts w:cs="Arial"/>
          <w:b/>
          <w:szCs w:val="24"/>
          <w:u w:val="single"/>
        </w:rPr>
        <w:t>during</w:t>
      </w:r>
      <w:r w:rsidR="003538C1">
        <w:rPr>
          <w:rFonts w:cs="Arial"/>
          <w:b/>
          <w:szCs w:val="24"/>
          <w:u w:val="single"/>
        </w:rPr>
        <w:t xml:space="preserve"> the y</w:t>
      </w:r>
      <w:r w:rsidR="00806086" w:rsidRPr="003538C1">
        <w:rPr>
          <w:rFonts w:cs="Arial"/>
          <w:b/>
          <w:szCs w:val="24"/>
          <w:u w:val="single"/>
        </w:rPr>
        <w:t>ear</w:t>
      </w:r>
    </w:p>
    <w:p w:rsidR="00806086" w:rsidRDefault="00806086">
      <w:pPr>
        <w:rPr>
          <w:rFonts w:cs="Arial"/>
          <w:szCs w:val="24"/>
        </w:rPr>
      </w:pPr>
    </w:p>
    <w:p w:rsidR="00806086" w:rsidRDefault="00806086">
      <w:pPr>
        <w:rPr>
          <w:rFonts w:cs="Arial"/>
          <w:szCs w:val="24"/>
        </w:rPr>
      </w:pPr>
      <w:r>
        <w:rPr>
          <w:rFonts w:cs="Arial"/>
          <w:szCs w:val="24"/>
        </w:rPr>
        <w:t xml:space="preserve">A new member starts pensionable employment (or a member who opts into the scheme) with an employer after </w:t>
      </w:r>
      <w:r w:rsidR="00F36E4E">
        <w:rPr>
          <w:rFonts w:cs="Arial"/>
          <w:szCs w:val="24"/>
        </w:rPr>
        <w:t>1st April</w:t>
      </w:r>
      <w:r>
        <w:rPr>
          <w:rFonts w:cs="Arial"/>
          <w:szCs w:val="24"/>
        </w:rPr>
        <w:t xml:space="preserve"> will only have part year service during the year.</w:t>
      </w:r>
    </w:p>
    <w:p w:rsidR="00806086" w:rsidRDefault="00806086">
      <w:pPr>
        <w:rPr>
          <w:rFonts w:cs="Arial"/>
          <w:szCs w:val="24"/>
        </w:rPr>
      </w:pPr>
    </w:p>
    <w:p w:rsidR="00806086" w:rsidRDefault="00806086">
      <w:pPr>
        <w:rPr>
          <w:rFonts w:cs="Arial"/>
          <w:b/>
          <w:szCs w:val="24"/>
        </w:rPr>
      </w:pPr>
      <w:r>
        <w:rPr>
          <w:rFonts w:cs="Arial"/>
          <w:b/>
          <w:szCs w:val="24"/>
        </w:rPr>
        <w:t>General Principle:</w:t>
      </w:r>
    </w:p>
    <w:p w:rsidR="00806086" w:rsidRDefault="00806086">
      <w:pPr>
        <w:rPr>
          <w:rFonts w:cs="Arial"/>
          <w:szCs w:val="24"/>
        </w:rPr>
      </w:pPr>
    </w:p>
    <w:p w:rsidR="00806086" w:rsidRDefault="00806086">
      <w:pPr>
        <w:rPr>
          <w:rFonts w:cs="Arial"/>
          <w:szCs w:val="24"/>
        </w:rPr>
      </w:pPr>
      <w:r>
        <w:rPr>
          <w:rFonts w:cs="Arial"/>
          <w:szCs w:val="24"/>
        </w:rPr>
        <w:t>Members must have their contribution rate based on the rate of pensionable pay for that employment as at the date joined scheme membership.</w:t>
      </w:r>
    </w:p>
    <w:p w:rsidR="00806086" w:rsidRDefault="00806086">
      <w:pPr>
        <w:rPr>
          <w:rFonts w:cs="Arial"/>
          <w:szCs w:val="24"/>
        </w:rPr>
      </w:pPr>
    </w:p>
    <w:p w:rsidR="00806086" w:rsidRDefault="00806086">
      <w:pPr>
        <w:rPr>
          <w:rFonts w:cs="Arial"/>
          <w:b/>
          <w:szCs w:val="24"/>
        </w:rPr>
      </w:pPr>
      <w:r>
        <w:rPr>
          <w:rFonts w:cs="Arial"/>
          <w:b/>
          <w:szCs w:val="24"/>
        </w:rPr>
        <w:t>Scenarios:</w:t>
      </w:r>
    </w:p>
    <w:p w:rsidR="00806086" w:rsidRDefault="00806086">
      <w:pPr>
        <w:rPr>
          <w:rFonts w:cs="Arial"/>
          <w:szCs w:val="24"/>
        </w:rPr>
      </w:pPr>
    </w:p>
    <w:p w:rsidR="00806086" w:rsidRDefault="00806086">
      <w:pPr>
        <w:ind w:left="408" w:hanging="408"/>
        <w:rPr>
          <w:rFonts w:cs="Arial"/>
          <w:szCs w:val="24"/>
        </w:rPr>
      </w:pPr>
      <w:r>
        <w:rPr>
          <w:rFonts w:cs="Arial"/>
          <w:szCs w:val="24"/>
        </w:rPr>
        <w:t>A.</w:t>
      </w:r>
      <w:r>
        <w:rPr>
          <w:rFonts w:cs="Arial"/>
          <w:szCs w:val="24"/>
        </w:rPr>
        <w:tab/>
        <w:t xml:space="preserve">New member is employed on 1st June and the employer must set the contribution rate for that member for the remainder of the </w:t>
      </w:r>
      <w:r w:rsidR="008D02D0">
        <w:rPr>
          <w:rFonts w:cs="Arial"/>
          <w:szCs w:val="24"/>
        </w:rPr>
        <w:t>scheme</w:t>
      </w:r>
      <w:r>
        <w:rPr>
          <w:rFonts w:cs="Arial"/>
          <w:szCs w:val="24"/>
        </w:rPr>
        <w:t xml:space="preserve"> year.  </w:t>
      </w:r>
    </w:p>
    <w:p w:rsidR="00806086" w:rsidRDefault="00806086">
      <w:pPr>
        <w:rPr>
          <w:rFonts w:cs="Arial"/>
          <w:szCs w:val="24"/>
        </w:rPr>
      </w:pPr>
    </w:p>
    <w:p w:rsidR="00806086" w:rsidRDefault="00806086">
      <w:pPr>
        <w:rPr>
          <w:rFonts w:cs="Arial"/>
          <w:szCs w:val="24"/>
        </w:rPr>
      </w:pPr>
      <w:r>
        <w:rPr>
          <w:rFonts w:cs="Arial"/>
          <w:szCs w:val="24"/>
        </w:rPr>
        <w:t>The member’s contribution rate must be based on the rate of pensionable pay as at 1</w:t>
      </w:r>
      <w:r>
        <w:rPr>
          <w:rFonts w:cs="Arial"/>
          <w:szCs w:val="24"/>
          <w:vertAlign w:val="superscript"/>
        </w:rPr>
        <w:t>st</w:t>
      </w:r>
      <w:r>
        <w:rPr>
          <w:rFonts w:cs="Arial"/>
          <w:szCs w:val="24"/>
        </w:rPr>
        <w:t xml:space="preserve"> June including </w:t>
      </w:r>
      <w:r>
        <w:rPr>
          <w:rFonts w:cs="Arial"/>
          <w:szCs w:val="24"/>
          <w:lang w:eastAsia="en-US"/>
        </w:rPr>
        <w:t>the estimated annual value of any other pensionable allowances</w:t>
      </w:r>
      <w:r>
        <w:rPr>
          <w:rFonts w:cs="Arial"/>
          <w:szCs w:val="24"/>
        </w:rPr>
        <w:t xml:space="preserve"> </w:t>
      </w:r>
      <w:r w:rsidR="00B60BE8">
        <w:rPr>
          <w:rFonts w:cs="Arial"/>
          <w:szCs w:val="24"/>
        </w:rPr>
        <w:t xml:space="preserve">or hours in excess of contracted hours (up to those </w:t>
      </w:r>
      <w:r w:rsidR="00B60BE8" w:rsidRPr="0046599A">
        <w:rPr>
          <w:rFonts w:cs="Arial"/>
          <w:szCs w:val="24"/>
        </w:rPr>
        <w:t>of the standard full-time working week for the employee in that employment</w:t>
      </w:r>
      <w:r w:rsidR="00B60BE8">
        <w:rPr>
          <w:rFonts w:cs="Arial"/>
          <w:szCs w:val="24"/>
        </w:rPr>
        <w:t xml:space="preserve">) </w:t>
      </w:r>
      <w:r>
        <w:rPr>
          <w:rFonts w:cs="Arial"/>
          <w:szCs w:val="24"/>
        </w:rPr>
        <w:t xml:space="preserve">where applicable. </w:t>
      </w:r>
    </w:p>
    <w:p w:rsidR="00806086" w:rsidRDefault="00806086">
      <w:pPr>
        <w:rPr>
          <w:rFonts w:cs="Arial"/>
          <w:b/>
          <w:szCs w:val="24"/>
          <w:u w:val="single"/>
        </w:rPr>
      </w:pPr>
    </w:p>
    <w:p w:rsidR="00806086" w:rsidRDefault="00806086">
      <w:pPr>
        <w:tabs>
          <w:tab w:val="clear" w:pos="720"/>
          <w:tab w:val="left" w:pos="480"/>
        </w:tabs>
        <w:rPr>
          <w:rFonts w:cs="Arial"/>
          <w:b/>
          <w:szCs w:val="24"/>
          <w:u w:val="single"/>
        </w:rPr>
      </w:pPr>
    </w:p>
    <w:p w:rsidR="00806086" w:rsidRDefault="00806086">
      <w:pPr>
        <w:tabs>
          <w:tab w:val="clear" w:pos="720"/>
          <w:tab w:val="clear" w:pos="1440"/>
          <w:tab w:val="left" w:pos="456"/>
        </w:tabs>
        <w:rPr>
          <w:rFonts w:cs="Arial"/>
          <w:b/>
          <w:szCs w:val="24"/>
          <w:u w:val="single"/>
        </w:rPr>
      </w:pPr>
      <w:r>
        <w:rPr>
          <w:rFonts w:cs="Arial"/>
          <w:b/>
          <w:szCs w:val="24"/>
        </w:rPr>
        <w:t>3.</w:t>
      </w:r>
      <w:r>
        <w:rPr>
          <w:rFonts w:cs="Arial"/>
          <w:b/>
          <w:szCs w:val="24"/>
        </w:rPr>
        <w:tab/>
      </w:r>
      <w:r>
        <w:rPr>
          <w:rFonts w:cs="Arial"/>
          <w:b/>
          <w:szCs w:val="24"/>
          <w:u w:val="single"/>
        </w:rPr>
        <w:t xml:space="preserve">Members </w:t>
      </w:r>
      <w:r w:rsidR="003538C1">
        <w:rPr>
          <w:rFonts w:cs="Arial"/>
          <w:b/>
          <w:szCs w:val="24"/>
          <w:u w:val="single"/>
        </w:rPr>
        <w:t>who move</w:t>
      </w:r>
      <w:r>
        <w:rPr>
          <w:rFonts w:cs="Arial"/>
          <w:b/>
          <w:szCs w:val="24"/>
          <w:u w:val="single"/>
        </w:rPr>
        <w:t xml:space="preserve"> </w:t>
      </w:r>
      <w:r w:rsidR="003538C1">
        <w:rPr>
          <w:rFonts w:cs="Arial"/>
          <w:b/>
          <w:szCs w:val="24"/>
          <w:u w:val="single"/>
        </w:rPr>
        <w:t>e</w:t>
      </w:r>
      <w:r>
        <w:rPr>
          <w:rFonts w:cs="Arial"/>
          <w:b/>
          <w:szCs w:val="24"/>
          <w:u w:val="single"/>
        </w:rPr>
        <w:t xml:space="preserve">mployments </w:t>
      </w:r>
      <w:r w:rsidR="00A7449E">
        <w:rPr>
          <w:rFonts w:cs="Arial"/>
          <w:b/>
          <w:szCs w:val="24"/>
          <w:u w:val="single"/>
        </w:rPr>
        <w:t>during</w:t>
      </w:r>
      <w:r>
        <w:rPr>
          <w:rFonts w:cs="Arial"/>
          <w:b/>
          <w:szCs w:val="24"/>
          <w:u w:val="single"/>
        </w:rPr>
        <w:t xml:space="preserve"> a </w:t>
      </w:r>
      <w:r w:rsidR="003538C1">
        <w:rPr>
          <w:rFonts w:cs="Arial"/>
          <w:b/>
          <w:szCs w:val="24"/>
          <w:u w:val="single"/>
        </w:rPr>
        <w:t>y</w:t>
      </w:r>
      <w:r>
        <w:rPr>
          <w:rFonts w:cs="Arial"/>
          <w:b/>
          <w:szCs w:val="24"/>
          <w:u w:val="single"/>
        </w:rPr>
        <w:t>ear</w:t>
      </w:r>
    </w:p>
    <w:p w:rsidR="00806086" w:rsidRDefault="00806086">
      <w:pPr>
        <w:rPr>
          <w:rFonts w:cs="Arial"/>
          <w:szCs w:val="24"/>
        </w:rPr>
      </w:pPr>
    </w:p>
    <w:p w:rsidR="00806086" w:rsidRDefault="00806086">
      <w:pPr>
        <w:rPr>
          <w:rFonts w:cs="Arial"/>
          <w:szCs w:val="24"/>
        </w:rPr>
      </w:pPr>
      <w:r>
        <w:rPr>
          <w:rFonts w:cs="Arial"/>
          <w:szCs w:val="24"/>
        </w:rPr>
        <w:t>Member moves employment</w:t>
      </w:r>
      <w:r w:rsidR="008D02D0">
        <w:rPr>
          <w:rFonts w:cs="Arial"/>
          <w:szCs w:val="24"/>
        </w:rPr>
        <w:t xml:space="preserve"> within an employing authority, or</w:t>
      </w:r>
      <w:r>
        <w:rPr>
          <w:rFonts w:cs="Arial"/>
          <w:szCs w:val="24"/>
        </w:rPr>
        <w:t xml:space="preserve"> to a different employing authority within the same fund</w:t>
      </w:r>
      <w:r w:rsidR="008D02D0">
        <w:rPr>
          <w:rFonts w:cs="Arial"/>
          <w:szCs w:val="24"/>
        </w:rPr>
        <w:t xml:space="preserve">, </w:t>
      </w:r>
      <w:r w:rsidR="009B04EA">
        <w:rPr>
          <w:rFonts w:cs="Arial"/>
          <w:szCs w:val="24"/>
        </w:rPr>
        <w:t xml:space="preserve">or to a different </w:t>
      </w:r>
      <w:r w:rsidR="008D02D0">
        <w:rPr>
          <w:rFonts w:cs="Arial"/>
          <w:szCs w:val="24"/>
        </w:rPr>
        <w:t xml:space="preserve">employing authority in another </w:t>
      </w:r>
      <w:r w:rsidR="009B04EA">
        <w:rPr>
          <w:rFonts w:cs="Arial"/>
          <w:szCs w:val="24"/>
        </w:rPr>
        <w:t>Scottish LGPS Fund.</w:t>
      </w:r>
    </w:p>
    <w:p w:rsidR="00806086" w:rsidRDefault="00806086">
      <w:pPr>
        <w:rPr>
          <w:rFonts w:cs="Arial"/>
          <w:szCs w:val="24"/>
        </w:rPr>
      </w:pPr>
    </w:p>
    <w:p w:rsidR="00806086" w:rsidRDefault="00806086">
      <w:pPr>
        <w:rPr>
          <w:rFonts w:cs="Arial"/>
          <w:b/>
          <w:szCs w:val="24"/>
        </w:rPr>
      </w:pPr>
      <w:r>
        <w:rPr>
          <w:rFonts w:cs="Arial"/>
          <w:b/>
          <w:szCs w:val="24"/>
        </w:rPr>
        <w:t>General Principle:</w:t>
      </w:r>
    </w:p>
    <w:p w:rsidR="00806086" w:rsidRDefault="00806086">
      <w:pPr>
        <w:rPr>
          <w:rFonts w:cs="Arial"/>
          <w:b/>
          <w:szCs w:val="24"/>
        </w:rPr>
      </w:pPr>
    </w:p>
    <w:p w:rsidR="00806086" w:rsidRDefault="00806086">
      <w:pPr>
        <w:rPr>
          <w:rFonts w:cs="Arial"/>
          <w:szCs w:val="24"/>
        </w:rPr>
      </w:pPr>
      <w:r>
        <w:rPr>
          <w:rFonts w:cs="Arial"/>
          <w:szCs w:val="24"/>
        </w:rPr>
        <w:t>Members who were scheme members with a previous employing authority and were allocated a contribution rate in that employment must have a new contribution rate determined by their new employer on the same basis as if they were a new start member.</w:t>
      </w:r>
    </w:p>
    <w:p w:rsidR="00806086" w:rsidRDefault="00806086">
      <w:pPr>
        <w:rPr>
          <w:rFonts w:cs="Arial"/>
          <w:szCs w:val="24"/>
        </w:rPr>
      </w:pPr>
    </w:p>
    <w:p w:rsidR="00806086" w:rsidRDefault="00806086">
      <w:pPr>
        <w:rPr>
          <w:rFonts w:cs="Arial"/>
          <w:szCs w:val="24"/>
        </w:rPr>
      </w:pPr>
    </w:p>
    <w:p w:rsidR="00806086" w:rsidRDefault="00806086">
      <w:pPr>
        <w:rPr>
          <w:rFonts w:cs="Arial"/>
          <w:b/>
          <w:szCs w:val="24"/>
        </w:rPr>
      </w:pPr>
      <w:r>
        <w:rPr>
          <w:rFonts w:cs="Arial"/>
          <w:b/>
          <w:szCs w:val="24"/>
        </w:rPr>
        <w:t>Scenario:</w:t>
      </w:r>
    </w:p>
    <w:p w:rsidR="00806086" w:rsidRDefault="00806086">
      <w:pPr>
        <w:rPr>
          <w:rFonts w:cs="Arial"/>
          <w:szCs w:val="24"/>
        </w:rPr>
      </w:pPr>
    </w:p>
    <w:p w:rsidR="00806086" w:rsidRDefault="00806086">
      <w:pPr>
        <w:ind w:left="480" w:hanging="456"/>
        <w:rPr>
          <w:rFonts w:cs="Arial"/>
          <w:szCs w:val="24"/>
        </w:rPr>
      </w:pPr>
      <w:r>
        <w:rPr>
          <w:rFonts w:cs="Arial"/>
          <w:szCs w:val="24"/>
        </w:rPr>
        <w:t>A.</w:t>
      </w:r>
      <w:r>
        <w:rPr>
          <w:rFonts w:cs="Arial"/>
          <w:szCs w:val="24"/>
        </w:rPr>
        <w:tab/>
        <w:t xml:space="preserve">Member moves employment during the </w:t>
      </w:r>
      <w:r w:rsidR="009B04EA">
        <w:rPr>
          <w:rFonts w:cs="Arial"/>
          <w:szCs w:val="24"/>
        </w:rPr>
        <w:t xml:space="preserve">scheme </w:t>
      </w:r>
      <w:r>
        <w:rPr>
          <w:rFonts w:cs="Arial"/>
          <w:szCs w:val="24"/>
        </w:rPr>
        <w:t xml:space="preserve">year either to a new employing authority within the same fund or to a different fund.  The contribution rate assigned with respect to the first employment must be ignored by the new employer and a new rate set in the new employment on the same basis as any other new start member. </w:t>
      </w:r>
    </w:p>
    <w:p w:rsidR="009B04EA" w:rsidRDefault="009B04EA">
      <w:pPr>
        <w:ind w:left="480" w:hanging="456"/>
        <w:rPr>
          <w:rFonts w:cs="Arial"/>
          <w:szCs w:val="24"/>
        </w:rPr>
      </w:pPr>
    </w:p>
    <w:p w:rsidR="009B04EA" w:rsidRDefault="009B04EA" w:rsidP="009B04EA">
      <w:pPr>
        <w:ind w:left="480" w:hanging="456"/>
        <w:rPr>
          <w:rFonts w:cs="Arial"/>
          <w:szCs w:val="24"/>
        </w:rPr>
      </w:pPr>
      <w:r>
        <w:rPr>
          <w:rFonts w:cs="Arial"/>
          <w:szCs w:val="24"/>
        </w:rPr>
        <w:t>B.</w:t>
      </w:r>
      <w:r>
        <w:rPr>
          <w:rFonts w:cs="Arial"/>
          <w:szCs w:val="24"/>
        </w:rPr>
        <w:tab/>
        <w:t xml:space="preserve">Member moves to a new employment with the same employer. </w:t>
      </w:r>
      <w:r w:rsidR="005273D9">
        <w:rPr>
          <w:rFonts w:cs="Arial"/>
          <w:szCs w:val="24"/>
        </w:rPr>
        <w:t xml:space="preserve"> This would usually constitute a permanent and material change in a member’s terms and conditions and therefore an assessment of contribution rate would be required. However, an assessment would not be necessary where the change is not considered by the employer as permanent and material (see 5(k)). </w:t>
      </w:r>
    </w:p>
    <w:p w:rsidR="009B04EA" w:rsidRDefault="009B04EA">
      <w:pPr>
        <w:ind w:left="480" w:hanging="456"/>
        <w:rPr>
          <w:rFonts w:cs="Arial"/>
          <w:szCs w:val="24"/>
        </w:rPr>
      </w:pPr>
    </w:p>
    <w:p w:rsidR="00806086" w:rsidRDefault="00806086">
      <w:pPr>
        <w:rPr>
          <w:rFonts w:cs="Arial"/>
          <w:szCs w:val="24"/>
        </w:rPr>
      </w:pPr>
    </w:p>
    <w:p w:rsidR="00FD3DDD" w:rsidRDefault="00FD3DDD">
      <w:pPr>
        <w:tabs>
          <w:tab w:val="clear" w:pos="720"/>
          <w:tab w:val="clear" w:pos="1440"/>
          <w:tab w:val="clear" w:pos="2160"/>
          <w:tab w:val="clear" w:pos="2880"/>
          <w:tab w:val="clear" w:pos="4680"/>
          <w:tab w:val="clear" w:pos="5400"/>
          <w:tab w:val="clear" w:pos="9000"/>
        </w:tabs>
        <w:rPr>
          <w:rFonts w:cs="Arial"/>
          <w:szCs w:val="24"/>
        </w:rPr>
      </w:pPr>
      <w:r>
        <w:rPr>
          <w:rFonts w:cs="Arial"/>
          <w:szCs w:val="24"/>
        </w:rPr>
        <w:br w:type="page"/>
      </w:r>
    </w:p>
    <w:p w:rsidR="00806086" w:rsidRDefault="00806086">
      <w:pPr>
        <w:tabs>
          <w:tab w:val="clear" w:pos="720"/>
          <w:tab w:val="left" w:pos="504"/>
        </w:tabs>
        <w:rPr>
          <w:rFonts w:cs="Arial"/>
          <w:b/>
          <w:szCs w:val="24"/>
          <w:u w:val="single"/>
        </w:rPr>
      </w:pPr>
      <w:r>
        <w:rPr>
          <w:rFonts w:cs="Arial"/>
          <w:b/>
          <w:szCs w:val="24"/>
        </w:rPr>
        <w:lastRenderedPageBreak/>
        <w:t xml:space="preserve">4.   </w:t>
      </w:r>
      <w:r w:rsidR="003538C1">
        <w:rPr>
          <w:rFonts w:cs="Arial"/>
          <w:b/>
          <w:szCs w:val="24"/>
          <w:u w:val="single"/>
        </w:rPr>
        <w:t>Concurrent employment s</w:t>
      </w:r>
      <w:r>
        <w:rPr>
          <w:rFonts w:cs="Arial"/>
          <w:b/>
          <w:szCs w:val="24"/>
          <w:u w:val="single"/>
        </w:rPr>
        <w:t>cenarios</w:t>
      </w:r>
    </w:p>
    <w:p w:rsidR="00806086" w:rsidRDefault="00806086">
      <w:pPr>
        <w:rPr>
          <w:rFonts w:cs="Arial"/>
          <w:szCs w:val="24"/>
        </w:rPr>
      </w:pPr>
    </w:p>
    <w:p w:rsidR="00806086" w:rsidRDefault="00806086">
      <w:pPr>
        <w:rPr>
          <w:rFonts w:cs="Arial"/>
          <w:szCs w:val="24"/>
        </w:rPr>
      </w:pPr>
      <w:r>
        <w:rPr>
          <w:rFonts w:cs="Arial"/>
          <w:szCs w:val="24"/>
        </w:rPr>
        <w:t>Member has concurrent employments with the same or a different employer.</w:t>
      </w:r>
    </w:p>
    <w:p w:rsidR="00806086" w:rsidRDefault="00806086">
      <w:pPr>
        <w:rPr>
          <w:rFonts w:cs="Arial"/>
          <w:szCs w:val="24"/>
        </w:rPr>
      </w:pPr>
    </w:p>
    <w:p w:rsidR="00806086" w:rsidRDefault="00806086">
      <w:pPr>
        <w:rPr>
          <w:rFonts w:cs="Arial"/>
          <w:b/>
          <w:szCs w:val="24"/>
        </w:rPr>
      </w:pPr>
      <w:r>
        <w:rPr>
          <w:rFonts w:cs="Arial"/>
          <w:b/>
          <w:szCs w:val="24"/>
        </w:rPr>
        <w:t>General Principle:</w:t>
      </w:r>
    </w:p>
    <w:p w:rsidR="00806086" w:rsidRDefault="00806086">
      <w:pPr>
        <w:rPr>
          <w:rFonts w:cs="Arial"/>
          <w:b/>
          <w:szCs w:val="24"/>
        </w:rPr>
      </w:pPr>
    </w:p>
    <w:p w:rsidR="00806086" w:rsidRDefault="00806086">
      <w:pPr>
        <w:rPr>
          <w:rFonts w:cs="Arial"/>
          <w:szCs w:val="24"/>
        </w:rPr>
      </w:pPr>
      <w:r>
        <w:rPr>
          <w:rFonts w:cs="Arial"/>
          <w:szCs w:val="24"/>
        </w:rPr>
        <w:t>Each employment contract must be assessed separately and assigned a contribution rate individually.</w:t>
      </w:r>
    </w:p>
    <w:p w:rsidR="00806086" w:rsidRDefault="00806086">
      <w:pPr>
        <w:rPr>
          <w:rFonts w:cs="Arial"/>
          <w:szCs w:val="24"/>
        </w:rPr>
      </w:pPr>
    </w:p>
    <w:p w:rsidR="00806086" w:rsidRDefault="00806086">
      <w:pPr>
        <w:rPr>
          <w:rFonts w:cs="Arial"/>
          <w:szCs w:val="24"/>
        </w:rPr>
      </w:pPr>
      <w:r>
        <w:rPr>
          <w:rFonts w:cs="Arial"/>
          <w:szCs w:val="24"/>
        </w:rPr>
        <w:t xml:space="preserve">An employee will retain a contribution rate applicable to each separate post for the whole of each </w:t>
      </w:r>
      <w:r w:rsidR="008D02D0">
        <w:rPr>
          <w:rFonts w:cs="Arial"/>
          <w:szCs w:val="24"/>
        </w:rPr>
        <w:t>scheme</w:t>
      </w:r>
      <w:r>
        <w:rPr>
          <w:rFonts w:cs="Arial"/>
          <w:szCs w:val="24"/>
        </w:rPr>
        <w:t xml:space="preserve"> year</w:t>
      </w:r>
      <w:r w:rsidR="00B60BE8">
        <w:rPr>
          <w:rFonts w:cs="Arial"/>
          <w:szCs w:val="24"/>
        </w:rPr>
        <w:t xml:space="preserve"> (unless a change to the rate is necessary on account of a</w:t>
      </w:r>
      <w:r w:rsidR="00B60BE8" w:rsidRPr="00B60BE8">
        <w:rPr>
          <w:rFonts w:cs="Arial"/>
          <w:szCs w:val="24"/>
        </w:rPr>
        <w:t xml:space="preserve"> permanent material change to the terms and conditions of a member’s employment which affect the member’s pensionable pay in the course of a </w:t>
      </w:r>
      <w:r w:rsidR="005273D9">
        <w:rPr>
          <w:rFonts w:cs="Arial"/>
          <w:szCs w:val="24"/>
        </w:rPr>
        <w:t>scheme</w:t>
      </w:r>
      <w:r w:rsidR="005273D9" w:rsidRPr="00B60BE8">
        <w:rPr>
          <w:rFonts w:cs="Arial"/>
          <w:szCs w:val="24"/>
        </w:rPr>
        <w:t xml:space="preserve"> </w:t>
      </w:r>
      <w:r w:rsidR="00B60BE8" w:rsidRPr="00B60BE8">
        <w:rPr>
          <w:rFonts w:cs="Arial"/>
          <w:szCs w:val="24"/>
        </w:rPr>
        <w:t>year</w:t>
      </w:r>
      <w:r w:rsidR="005273D9">
        <w:rPr>
          <w:rFonts w:cs="Arial"/>
          <w:szCs w:val="24"/>
        </w:rPr>
        <w:t xml:space="preserve"> – see 5(k))</w:t>
      </w:r>
      <w:r>
        <w:rPr>
          <w:rFonts w:cs="Arial"/>
          <w:szCs w:val="24"/>
        </w:rPr>
        <w:t xml:space="preserve">. In circumstances where a member has more than one employment either with the same employer or with different employers, each of those posts is to be treated in isolation when determining a contribution rate to be allocated to the member. In such cases the contribution rate for each of the member’s employments must be calculated in accordance with sections 1 and 2 of this </w:t>
      </w:r>
      <w:r w:rsidR="00A71547">
        <w:rPr>
          <w:rFonts w:cs="Arial"/>
          <w:szCs w:val="24"/>
        </w:rPr>
        <w:t>appendix</w:t>
      </w:r>
      <w:r>
        <w:rPr>
          <w:rFonts w:cs="Arial"/>
          <w:szCs w:val="24"/>
        </w:rPr>
        <w:t>.</w:t>
      </w:r>
    </w:p>
    <w:p w:rsidR="00806086" w:rsidRDefault="00806086">
      <w:pPr>
        <w:rPr>
          <w:rFonts w:cs="Arial"/>
          <w:b/>
          <w:szCs w:val="24"/>
        </w:rPr>
      </w:pPr>
    </w:p>
    <w:p w:rsidR="00806086" w:rsidRDefault="00806086">
      <w:pPr>
        <w:rPr>
          <w:rFonts w:cs="Arial"/>
          <w:b/>
          <w:szCs w:val="24"/>
        </w:rPr>
      </w:pPr>
      <w:r>
        <w:rPr>
          <w:rFonts w:cs="Arial"/>
          <w:b/>
          <w:szCs w:val="24"/>
        </w:rPr>
        <w:t>Scenarios:</w:t>
      </w:r>
    </w:p>
    <w:p w:rsidR="00806086" w:rsidRDefault="00806086">
      <w:pPr>
        <w:rPr>
          <w:rFonts w:cs="Arial"/>
          <w:b/>
          <w:szCs w:val="24"/>
        </w:rPr>
      </w:pPr>
    </w:p>
    <w:p w:rsidR="00806086" w:rsidRDefault="00806086">
      <w:pPr>
        <w:ind w:left="552" w:hanging="576"/>
        <w:rPr>
          <w:rFonts w:cs="Arial"/>
          <w:szCs w:val="24"/>
        </w:rPr>
      </w:pPr>
      <w:r>
        <w:rPr>
          <w:rFonts w:cs="Arial"/>
          <w:szCs w:val="24"/>
        </w:rPr>
        <w:t>A.</w:t>
      </w:r>
      <w:r>
        <w:rPr>
          <w:rFonts w:cs="Arial"/>
          <w:szCs w:val="24"/>
        </w:rPr>
        <w:tab/>
        <w:t>Member has concurrent part time Employments 1 and 2, which terminate at the same time and starts new Employment 3 without a break.  In this scenario the contribution rate for Employment 3 would be based on the rate of pensionable pay at the start date of Employment 3.</w:t>
      </w:r>
    </w:p>
    <w:p w:rsidR="00806086" w:rsidRDefault="00806086">
      <w:pPr>
        <w:rPr>
          <w:rFonts w:cs="Arial"/>
          <w:szCs w:val="24"/>
        </w:rPr>
      </w:pPr>
    </w:p>
    <w:p w:rsidR="00806086" w:rsidRDefault="00806086">
      <w:pPr>
        <w:ind w:left="528" w:hanging="552"/>
        <w:rPr>
          <w:rFonts w:cs="Arial"/>
          <w:szCs w:val="24"/>
        </w:rPr>
      </w:pPr>
      <w:r>
        <w:rPr>
          <w:rFonts w:cs="Arial"/>
          <w:szCs w:val="24"/>
        </w:rPr>
        <w:t>B.</w:t>
      </w:r>
      <w:r>
        <w:rPr>
          <w:rFonts w:cs="Arial"/>
          <w:szCs w:val="24"/>
        </w:rPr>
        <w:tab/>
        <w:t xml:space="preserve">Member has concurrent part time Employments 1 and 2.  Employment 1 terminates and Employment 3 starts without a break.  In this scenario the employee has multiple employments at the point Employment 3 starts; therefore, the contribution rate for Employment 2 remains unchanged and the contribution rate for Employment 3 would be based on the rate of pensionable pay at the date of starting that employment. </w:t>
      </w:r>
    </w:p>
    <w:p w:rsidR="00806086" w:rsidRDefault="00806086">
      <w:pPr>
        <w:rPr>
          <w:rFonts w:cs="Arial"/>
          <w:szCs w:val="24"/>
        </w:rPr>
      </w:pPr>
    </w:p>
    <w:p w:rsidR="00806086" w:rsidRDefault="00806086">
      <w:pPr>
        <w:ind w:left="528" w:hanging="528"/>
        <w:rPr>
          <w:rFonts w:cs="Arial"/>
          <w:szCs w:val="24"/>
        </w:rPr>
      </w:pPr>
      <w:r>
        <w:rPr>
          <w:rFonts w:cs="Arial"/>
          <w:szCs w:val="24"/>
        </w:rPr>
        <w:t>C.</w:t>
      </w:r>
      <w:r>
        <w:rPr>
          <w:rFonts w:cs="Arial"/>
          <w:szCs w:val="24"/>
        </w:rPr>
        <w:tab/>
        <w:t>Member starts new Employment 2 whilst already employed in Employment 1.  In this scenario the employee has multiple employments at the point Employment 2 starts; therefore, the contribution rate for Employment 2 would be based on the rate of pensionab</w:t>
      </w:r>
      <w:r w:rsidR="003538C1">
        <w:rPr>
          <w:rFonts w:cs="Arial"/>
          <w:szCs w:val="24"/>
        </w:rPr>
        <w:t>le pay at the date of starting E</w:t>
      </w:r>
      <w:r>
        <w:rPr>
          <w:rFonts w:cs="Arial"/>
          <w:szCs w:val="24"/>
        </w:rPr>
        <w:t xml:space="preserve">mployment 2.  </w:t>
      </w:r>
    </w:p>
    <w:p w:rsidR="00806086" w:rsidRDefault="00806086">
      <w:pPr>
        <w:rPr>
          <w:rFonts w:cs="Arial"/>
          <w:szCs w:val="24"/>
        </w:rPr>
      </w:pPr>
    </w:p>
    <w:p w:rsidR="00806086" w:rsidRDefault="00806086">
      <w:pPr>
        <w:ind w:left="552" w:hanging="552"/>
        <w:rPr>
          <w:rFonts w:cs="Arial"/>
          <w:szCs w:val="24"/>
        </w:rPr>
      </w:pPr>
      <w:r>
        <w:rPr>
          <w:rFonts w:cs="Arial"/>
          <w:szCs w:val="24"/>
        </w:rPr>
        <w:t>D.</w:t>
      </w:r>
      <w:r>
        <w:rPr>
          <w:rFonts w:cs="Arial"/>
          <w:szCs w:val="24"/>
        </w:rPr>
        <w:tab/>
        <w:t>Member starts new Employment 2 whilst already employed in Employment 1 and then terminates Employment 1 and starts Employment 3.  In this scenario the employee has multiple employments at the point Employment 2 starts and at the point Employment 3 starts; therefore, the contribution rate for Employment 2 and 3 would be based on the rate of pensionable pay at the date of starting th</w:t>
      </w:r>
      <w:r w:rsidR="003538C1">
        <w:rPr>
          <w:rFonts w:cs="Arial"/>
          <w:szCs w:val="24"/>
        </w:rPr>
        <w:t>ose</w:t>
      </w:r>
      <w:r>
        <w:rPr>
          <w:rFonts w:cs="Arial"/>
          <w:szCs w:val="24"/>
        </w:rPr>
        <w:t xml:space="preserve"> employment</w:t>
      </w:r>
      <w:r w:rsidR="003538C1">
        <w:rPr>
          <w:rFonts w:cs="Arial"/>
          <w:szCs w:val="24"/>
        </w:rPr>
        <w:t>s</w:t>
      </w:r>
      <w:r>
        <w:rPr>
          <w:rFonts w:cs="Arial"/>
          <w:szCs w:val="24"/>
        </w:rPr>
        <w:t xml:space="preserve">.  </w:t>
      </w:r>
    </w:p>
    <w:p w:rsidR="00806086" w:rsidRDefault="00806086">
      <w:pPr>
        <w:rPr>
          <w:rFonts w:cs="Arial"/>
          <w:szCs w:val="24"/>
        </w:rPr>
      </w:pPr>
    </w:p>
    <w:p w:rsidR="00806086" w:rsidRDefault="00806086">
      <w:pPr>
        <w:rPr>
          <w:rFonts w:cs="Arial"/>
          <w:b/>
          <w:szCs w:val="24"/>
        </w:rPr>
      </w:pPr>
      <w:r>
        <w:rPr>
          <w:rFonts w:cs="Arial"/>
          <w:b/>
          <w:szCs w:val="24"/>
        </w:rPr>
        <w:t>Notes:</w:t>
      </w:r>
    </w:p>
    <w:p w:rsidR="00806086" w:rsidRDefault="00806086">
      <w:pPr>
        <w:rPr>
          <w:rFonts w:cs="Arial"/>
          <w:szCs w:val="24"/>
        </w:rPr>
      </w:pPr>
    </w:p>
    <w:p w:rsidR="00806086" w:rsidRDefault="00806086">
      <w:pPr>
        <w:rPr>
          <w:rFonts w:cs="Arial"/>
          <w:szCs w:val="24"/>
        </w:rPr>
      </w:pPr>
      <w:r>
        <w:rPr>
          <w:rFonts w:cs="Arial"/>
          <w:szCs w:val="24"/>
        </w:rPr>
        <w:t xml:space="preserve">Concurrent employment requires each employment to have a separate employment contract.  Multiple duties under a single employment contract do not constitute separate employments even if the different duties attract different rates of pay. There is no difference between concurrent employment contracts with </w:t>
      </w:r>
      <w:r w:rsidR="003538C1">
        <w:rPr>
          <w:rFonts w:cs="Arial"/>
          <w:szCs w:val="24"/>
        </w:rPr>
        <w:t xml:space="preserve">a </w:t>
      </w:r>
      <w:r>
        <w:rPr>
          <w:rFonts w:cs="Arial"/>
          <w:szCs w:val="24"/>
        </w:rPr>
        <w:t xml:space="preserve">single employer or </w:t>
      </w:r>
      <w:r w:rsidR="003538C1">
        <w:rPr>
          <w:rFonts w:cs="Arial"/>
          <w:szCs w:val="24"/>
        </w:rPr>
        <w:t xml:space="preserve">with </w:t>
      </w:r>
      <w:r>
        <w:rPr>
          <w:rFonts w:cs="Arial"/>
          <w:szCs w:val="24"/>
        </w:rPr>
        <w:t>multiple employers.</w:t>
      </w:r>
    </w:p>
    <w:p w:rsidR="00806086" w:rsidRDefault="00FD3DDD">
      <w:pPr>
        <w:pStyle w:val="Heading1"/>
        <w:keepNext/>
        <w:keepLines/>
        <w:pageBreakBefore/>
        <w:numPr>
          <w:ilvl w:val="0"/>
          <w:numId w:val="0"/>
        </w:numPr>
        <w:tabs>
          <w:tab w:val="clear" w:pos="720"/>
          <w:tab w:val="clear" w:pos="1440"/>
          <w:tab w:val="clear" w:pos="2160"/>
          <w:tab w:val="clear" w:pos="2880"/>
          <w:tab w:val="clear" w:pos="4680"/>
          <w:tab w:val="clear" w:pos="5400"/>
          <w:tab w:val="clear" w:pos="9000"/>
          <w:tab w:val="left" w:pos="543"/>
        </w:tabs>
        <w:jc w:val="right"/>
        <w:rPr>
          <w:rFonts w:cs="Arial"/>
          <w:b/>
          <w:sz w:val="28"/>
          <w:szCs w:val="28"/>
        </w:rPr>
      </w:pPr>
      <w:bookmarkStart w:id="6" w:name="_Toc187556866"/>
      <w:r>
        <w:rPr>
          <w:rFonts w:cs="Arial"/>
          <w:b/>
          <w:sz w:val="28"/>
          <w:szCs w:val="28"/>
        </w:rPr>
        <w:lastRenderedPageBreak/>
        <w:t>A</w:t>
      </w:r>
      <w:r w:rsidR="00806086">
        <w:rPr>
          <w:rFonts w:cs="Arial"/>
          <w:b/>
          <w:sz w:val="28"/>
          <w:szCs w:val="28"/>
        </w:rPr>
        <w:t>nnex B</w:t>
      </w:r>
    </w:p>
    <w:p w:rsidR="00806086" w:rsidRDefault="00806086">
      <w:pPr>
        <w:rPr>
          <w:rFonts w:cs="Arial"/>
          <w:szCs w:val="24"/>
        </w:rPr>
      </w:pPr>
    </w:p>
    <w:p w:rsidR="00806086" w:rsidRDefault="00806086">
      <w:pPr>
        <w:rPr>
          <w:rFonts w:cs="Arial"/>
          <w:szCs w:val="24"/>
        </w:rPr>
      </w:pPr>
    </w:p>
    <w:p w:rsidR="00806086" w:rsidRDefault="00806086">
      <w:pPr>
        <w:rPr>
          <w:rFonts w:cs="Arial"/>
          <w:b/>
          <w:szCs w:val="24"/>
        </w:rPr>
      </w:pPr>
      <w:r>
        <w:rPr>
          <w:rFonts w:cs="Arial"/>
          <w:b/>
          <w:szCs w:val="24"/>
        </w:rPr>
        <w:t>Calculation of Pensionable Pay</w:t>
      </w:r>
      <w:bookmarkEnd w:id="6"/>
    </w:p>
    <w:p w:rsidR="00806086" w:rsidRDefault="00806086">
      <w:pPr>
        <w:keepNext/>
        <w:rPr>
          <w:rFonts w:cs="Arial"/>
          <w:szCs w:val="24"/>
        </w:rPr>
      </w:pPr>
    </w:p>
    <w:p w:rsidR="00806086" w:rsidRDefault="00806086">
      <w:pPr>
        <w:keepNext/>
        <w:rPr>
          <w:rFonts w:cs="Arial"/>
          <w:szCs w:val="24"/>
        </w:rPr>
      </w:pPr>
    </w:p>
    <w:p w:rsidR="00806086" w:rsidRDefault="00806086">
      <w:pPr>
        <w:keepNext/>
        <w:rPr>
          <w:rFonts w:cs="Arial"/>
          <w:szCs w:val="24"/>
        </w:rPr>
      </w:pPr>
      <w:r>
        <w:rPr>
          <w:rFonts w:cs="Arial"/>
          <w:szCs w:val="24"/>
        </w:rPr>
        <w:t>The table below gives some examples of how to calculate pensionable pay</w:t>
      </w:r>
      <w:r w:rsidR="00212050">
        <w:rPr>
          <w:rFonts w:cs="Arial"/>
          <w:szCs w:val="24"/>
        </w:rPr>
        <w:t xml:space="preserve"> for contribution rate assessment</w:t>
      </w:r>
    </w:p>
    <w:p w:rsidR="00806086" w:rsidRDefault="00806086">
      <w:pPr>
        <w:keepNext/>
        <w:rPr>
          <w:rFonts w:cs="Arial"/>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3077"/>
        <w:gridCol w:w="2534"/>
        <w:gridCol w:w="1777"/>
      </w:tblGrid>
      <w:tr w:rsidR="00806086">
        <w:trPr>
          <w:cantSplit/>
          <w:tblHeader/>
        </w:trPr>
        <w:tc>
          <w:tcPr>
            <w:tcW w:w="1895" w:type="dxa"/>
            <w:tcBorders>
              <w:top w:val="single" w:sz="4" w:space="0" w:color="auto"/>
              <w:left w:val="single" w:sz="4" w:space="0" w:color="auto"/>
              <w:bottom w:val="single" w:sz="4" w:space="0" w:color="auto"/>
              <w:right w:val="nil"/>
            </w:tcBorders>
            <w:vAlign w:val="center"/>
          </w:tcPr>
          <w:p w:rsidR="00806086" w:rsidRDefault="00806086">
            <w:pPr>
              <w:spacing w:before="120" w:after="120"/>
              <w:rPr>
                <w:rFonts w:cs="Arial"/>
                <w:b/>
                <w:szCs w:val="24"/>
              </w:rPr>
            </w:pPr>
            <w:r>
              <w:rPr>
                <w:rFonts w:cs="Arial"/>
                <w:b/>
                <w:szCs w:val="24"/>
              </w:rPr>
              <w:t>Scenario</w:t>
            </w:r>
          </w:p>
        </w:tc>
        <w:tc>
          <w:tcPr>
            <w:tcW w:w="3077" w:type="dxa"/>
            <w:tcBorders>
              <w:top w:val="single" w:sz="4" w:space="0" w:color="auto"/>
              <w:left w:val="nil"/>
              <w:bottom w:val="single" w:sz="4" w:space="0" w:color="auto"/>
              <w:right w:val="single" w:sz="4" w:space="0" w:color="auto"/>
            </w:tcBorders>
            <w:vAlign w:val="center"/>
          </w:tcPr>
          <w:p w:rsidR="00806086" w:rsidRDefault="00806086">
            <w:pPr>
              <w:spacing w:before="120" w:after="120"/>
              <w:rPr>
                <w:rFonts w:cs="Arial"/>
                <w:b/>
                <w:szCs w:val="24"/>
              </w:rPr>
            </w:pPr>
          </w:p>
        </w:tc>
        <w:tc>
          <w:tcPr>
            <w:tcW w:w="2534" w:type="dxa"/>
            <w:tcBorders>
              <w:left w:val="single" w:sz="4" w:space="0" w:color="auto"/>
            </w:tcBorders>
            <w:vAlign w:val="center"/>
          </w:tcPr>
          <w:p w:rsidR="00806086" w:rsidRDefault="00806086">
            <w:pPr>
              <w:spacing w:before="120" w:after="120"/>
              <w:rPr>
                <w:rFonts w:cs="Arial"/>
                <w:b/>
                <w:szCs w:val="24"/>
              </w:rPr>
            </w:pPr>
            <w:r>
              <w:rPr>
                <w:rFonts w:cs="Arial"/>
                <w:b/>
                <w:szCs w:val="24"/>
              </w:rPr>
              <w:t>Pensionable Pay</w:t>
            </w:r>
          </w:p>
        </w:tc>
        <w:tc>
          <w:tcPr>
            <w:tcW w:w="1777" w:type="dxa"/>
            <w:vAlign w:val="center"/>
          </w:tcPr>
          <w:p w:rsidR="00806086" w:rsidRDefault="00806086">
            <w:pPr>
              <w:spacing w:before="120" w:after="120"/>
              <w:rPr>
                <w:rFonts w:cs="Arial"/>
                <w:b/>
                <w:szCs w:val="24"/>
              </w:rPr>
            </w:pPr>
            <w:r>
              <w:rPr>
                <w:rFonts w:cs="Arial"/>
                <w:b/>
                <w:szCs w:val="24"/>
              </w:rPr>
              <w:t>Contribution Rate</w:t>
            </w:r>
          </w:p>
        </w:tc>
      </w:tr>
      <w:tr w:rsidR="00806086">
        <w:trPr>
          <w:cantSplit/>
        </w:trPr>
        <w:tc>
          <w:tcPr>
            <w:tcW w:w="1895" w:type="dxa"/>
            <w:tcBorders>
              <w:top w:val="single" w:sz="4" w:space="0" w:color="auto"/>
            </w:tcBorders>
          </w:tcPr>
          <w:p w:rsidR="00806086" w:rsidRDefault="00806086">
            <w:pPr>
              <w:rPr>
                <w:rFonts w:cs="Arial"/>
                <w:szCs w:val="24"/>
              </w:rPr>
            </w:pPr>
            <w:r>
              <w:rPr>
                <w:rFonts w:cs="Arial"/>
                <w:szCs w:val="24"/>
              </w:rPr>
              <w:t xml:space="preserve">Full Time –  </w:t>
            </w:r>
          </w:p>
        </w:tc>
        <w:tc>
          <w:tcPr>
            <w:tcW w:w="3077" w:type="dxa"/>
            <w:tcBorders>
              <w:top w:val="single" w:sz="4" w:space="0" w:color="auto"/>
            </w:tcBorders>
          </w:tcPr>
          <w:p w:rsidR="00806086" w:rsidRDefault="00806086">
            <w:pPr>
              <w:rPr>
                <w:rFonts w:cs="Arial"/>
                <w:szCs w:val="24"/>
              </w:rPr>
            </w:pPr>
            <w:r>
              <w:rPr>
                <w:rFonts w:cs="Arial"/>
                <w:szCs w:val="24"/>
              </w:rPr>
              <w:t>Employed full time</w:t>
            </w:r>
          </w:p>
          <w:p w:rsidR="00806086" w:rsidRDefault="00806086">
            <w:pPr>
              <w:rPr>
                <w:rFonts w:cs="Arial"/>
                <w:szCs w:val="24"/>
              </w:rPr>
            </w:pPr>
            <w:r>
              <w:rPr>
                <w:rFonts w:cs="Arial"/>
                <w:szCs w:val="24"/>
              </w:rPr>
              <w:t>Rate of pensi</w:t>
            </w:r>
            <w:r w:rsidR="009401FB">
              <w:rPr>
                <w:rFonts w:cs="Arial"/>
                <w:szCs w:val="24"/>
              </w:rPr>
              <w:t xml:space="preserve">onable pay @ </w:t>
            </w:r>
            <w:r w:rsidR="00F36E4E">
              <w:rPr>
                <w:rFonts w:cs="Arial"/>
                <w:szCs w:val="24"/>
              </w:rPr>
              <w:t>1 April</w:t>
            </w:r>
            <w:r w:rsidR="009401FB">
              <w:rPr>
                <w:rFonts w:cs="Arial"/>
                <w:szCs w:val="24"/>
              </w:rPr>
              <w:t xml:space="preserve"> = £20,000</w:t>
            </w:r>
          </w:p>
        </w:tc>
        <w:tc>
          <w:tcPr>
            <w:tcW w:w="2534" w:type="dxa"/>
          </w:tcPr>
          <w:p w:rsidR="00806086" w:rsidRDefault="00806086">
            <w:pPr>
              <w:rPr>
                <w:rFonts w:cs="Arial"/>
                <w:szCs w:val="24"/>
              </w:rPr>
            </w:pPr>
            <w:r>
              <w:rPr>
                <w:rFonts w:cs="Arial"/>
                <w:szCs w:val="24"/>
              </w:rPr>
              <w:t>£20,000</w:t>
            </w:r>
          </w:p>
          <w:p w:rsidR="00806086" w:rsidRDefault="00806086">
            <w:pPr>
              <w:rPr>
                <w:rFonts w:cs="Arial"/>
                <w:szCs w:val="24"/>
              </w:rPr>
            </w:pPr>
          </w:p>
          <w:p w:rsidR="00806086" w:rsidRDefault="009401FB">
            <w:pPr>
              <w:rPr>
                <w:rFonts w:cs="Arial"/>
                <w:szCs w:val="24"/>
              </w:rPr>
            </w:pPr>
            <w:r>
              <w:rPr>
                <w:rFonts w:cs="Arial"/>
                <w:szCs w:val="24"/>
              </w:rPr>
              <w:t>No adjustment is required</w:t>
            </w:r>
          </w:p>
          <w:p w:rsidR="00806086" w:rsidRDefault="00806086">
            <w:pPr>
              <w:rPr>
                <w:rFonts w:cs="Arial"/>
                <w:szCs w:val="24"/>
              </w:rPr>
            </w:pPr>
          </w:p>
        </w:tc>
        <w:tc>
          <w:tcPr>
            <w:tcW w:w="1777" w:type="dxa"/>
          </w:tcPr>
          <w:p w:rsidR="00806086" w:rsidRDefault="009607F0">
            <w:pPr>
              <w:rPr>
                <w:rFonts w:cs="Arial"/>
                <w:szCs w:val="24"/>
              </w:rPr>
            </w:pPr>
            <w:r>
              <w:rPr>
                <w:rFonts w:cs="Arial"/>
                <w:szCs w:val="24"/>
              </w:rPr>
              <w:t>5.5</w:t>
            </w:r>
            <w:r w:rsidR="00806086">
              <w:rPr>
                <w:rFonts w:cs="Arial"/>
                <w:szCs w:val="24"/>
              </w:rPr>
              <w:t>% based on table 2 below</w:t>
            </w:r>
          </w:p>
        </w:tc>
      </w:tr>
      <w:tr w:rsidR="00806086">
        <w:trPr>
          <w:cantSplit/>
        </w:trPr>
        <w:tc>
          <w:tcPr>
            <w:tcW w:w="1895" w:type="dxa"/>
          </w:tcPr>
          <w:p w:rsidR="00806086" w:rsidRDefault="00806086">
            <w:pPr>
              <w:rPr>
                <w:rFonts w:cs="Arial"/>
                <w:szCs w:val="24"/>
              </w:rPr>
            </w:pPr>
            <w:r>
              <w:rPr>
                <w:rFonts w:cs="Arial"/>
                <w:szCs w:val="24"/>
              </w:rPr>
              <w:t>Full Time –but with a period of no pay through sickness</w:t>
            </w:r>
          </w:p>
        </w:tc>
        <w:tc>
          <w:tcPr>
            <w:tcW w:w="3077" w:type="dxa"/>
          </w:tcPr>
          <w:p w:rsidR="00806086" w:rsidRDefault="00806086">
            <w:pPr>
              <w:rPr>
                <w:rFonts w:cs="Arial"/>
                <w:szCs w:val="24"/>
              </w:rPr>
            </w:pPr>
            <w:r>
              <w:rPr>
                <w:rFonts w:cs="Arial"/>
                <w:szCs w:val="24"/>
              </w:rPr>
              <w:t>Employed full time</w:t>
            </w:r>
          </w:p>
          <w:p w:rsidR="00806086" w:rsidRDefault="00806086">
            <w:pPr>
              <w:rPr>
                <w:rFonts w:cs="Arial"/>
                <w:szCs w:val="24"/>
              </w:rPr>
            </w:pPr>
            <w:r>
              <w:rPr>
                <w:rFonts w:cs="Arial"/>
                <w:szCs w:val="24"/>
              </w:rPr>
              <w:t xml:space="preserve">Salary point @ </w:t>
            </w:r>
            <w:r w:rsidR="00F36E4E">
              <w:rPr>
                <w:rFonts w:cs="Arial"/>
                <w:szCs w:val="24"/>
              </w:rPr>
              <w:t>1 April</w:t>
            </w:r>
            <w:r>
              <w:rPr>
                <w:rFonts w:cs="Arial"/>
                <w:szCs w:val="24"/>
              </w:rPr>
              <w:t xml:space="preserve">  £24,000</w:t>
            </w:r>
          </w:p>
          <w:p w:rsidR="00806086" w:rsidRDefault="00806086">
            <w:pPr>
              <w:rPr>
                <w:rFonts w:cs="Arial"/>
                <w:szCs w:val="24"/>
              </w:rPr>
            </w:pPr>
          </w:p>
          <w:p w:rsidR="00806086" w:rsidRDefault="00806086">
            <w:pPr>
              <w:rPr>
                <w:rFonts w:cs="Arial"/>
                <w:szCs w:val="24"/>
              </w:rPr>
            </w:pPr>
            <w:r>
              <w:rPr>
                <w:rFonts w:cs="Arial"/>
                <w:szCs w:val="24"/>
              </w:rPr>
              <w:t xml:space="preserve">Period of no pay 165 days during the year to </w:t>
            </w:r>
            <w:r w:rsidR="00494F28">
              <w:rPr>
                <w:rFonts w:cs="Arial"/>
                <w:szCs w:val="24"/>
              </w:rPr>
              <w:t>scheme</w:t>
            </w:r>
            <w:r>
              <w:rPr>
                <w:rFonts w:cs="Arial"/>
                <w:szCs w:val="24"/>
              </w:rPr>
              <w:t xml:space="preserve"> year end</w:t>
            </w:r>
          </w:p>
          <w:p w:rsidR="00806086" w:rsidRDefault="00806086">
            <w:pPr>
              <w:rPr>
                <w:rFonts w:cs="Arial"/>
                <w:szCs w:val="24"/>
              </w:rPr>
            </w:pPr>
          </w:p>
          <w:p w:rsidR="00806086" w:rsidRDefault="00806086">
            <w:pPr>
              <w:rPr>
                <w:rFonts w:cs="Arial"/>
                <w:szCs w:val="24"/>
              </w:rPr>
            </w:pPr>
            <w:r>
              <w:rPr>
                <w:rFonts w:cs="Arial"/>
                <w:szCs w:val="24"/>
              </w:rPr>
              <w:t>Rate of p</w:t>
            </w:r>
            <w:r w:rsidR="009401FB">
              <w:rPr>
                <w:rFonts w:cs="Arial"/>
                <w:szCs w:val="24"/>
              </w:rPr>
              <w:t xml:space="preserve">ensionable pay @ </w:t>
            </w:r>
            <w:r w:rsidR="00F36E4E">
              <w:rPr>
                <w:rFonts w:cs="Arial"/>
                <w:szCs w:val="24"/>
              </w:rPr>
              <w:t>1 April</w:t>
            </w:r>
            <w:r w:rsidR="009401FB">
              <w:rPr>
                <w:rFonts w:cs="Arial"/>
                <w:szCs w:val="24"/>
              </w:rPr>
              <w:t xml:space="preserve"> £0.00</w:t>
            </w:r>
          </w:p>
          <w:p w:rsidR="00806086" w:rsidRDefault="00806086">
            <w:pPr>
              <w:rPr>
                <w:rFonts w:cs="Arial"/>
                <w:szCs w:val="24"/>
              </w:rPr>
            </w:pPr>
            <w:bookmarkStart w:id="7" w:name="_GoBack"/>
            <w:bookmarkEnd w:id="7"/>
          </w:p>
        </w:tc>
        <w:tc>
          <w:tcPr>
            <w:tcW w:w="2534" w:type="dxa"/>
          </w:tcPr>
          <w:p w:rsidR="00806086" w:rsidRDefault="00806086">
            <w:pPr>
              <w:rPr>
                <w:rFonts w:cs="Arial"/>
                <w:szCs w:val="24"/>
              </w:rPr>
            </w:pPr>
            <w:r>
              <w:rPr>
                <w:rFonts w:cs="Arial"/>
                <w:szCs w:val="24"/>
              </w:rPr>
              <w:t>£24,000 ignoring pe</w:t>
            </w:r>
            <w:r w:rsidR="009401FB">
              <w:rPr>
                <w:rFonts w:cs="Arial"/>
                <w:szCs w:val="24"/>
              </w:rPr>
              <w:t>riod of no pay through sickness</w:t>
            </w:r>
            <w:r>
              <w:rPr>
                <w:rFonts w:cs="Arial"/>
                <w:szCs w:val="24"/>
              </w:rPr>
              <w:t xml:space="preserve"> </w:t>
            </w: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tc>
        <w:tc>
          <w:tcPr>
            <w:tcW w:w="1777" w:type="dxa"/>
          </w:tcPr>
          <w:p w:rsidR="00806086" w:rsidRDefault="00DF673A">
            <w:pPr>
              <w:rPr>
                <w:rFonts w:cs="Arial"/>
                <w:szCs w:val="24"/>
              </w:rPr>
            </w:pPr>
            <w:r>
              <w:rPr>
                <w:rFonts w:cs="Arial"/>
                <w:szCs w:val="24"/>
              </w:rPr>
              <w:t>5.</w:t>
            </w:r>
            <w:r w:rsidR="00D94D15">
              <w:rPr>
                <w:rFonts w:cs="Arial"/>
                <w:szCs w:val="24"/>
              </w:rPr>
              <w:t>7</w:t>
            </w:r>
            <w:r>
              <w:rPr>
                <w:rFonts w:cs="Arial"/>
                <w:szCs w:val="24"/>
              </w:rPr>
              <w:t xml:space="preserve">% </w:t>
            </w:r>
            <w:r w:rsidR="00806086">
              <w:rPr>
                <w:rFonts w:cs="Arial"/>
                <w:szCs w:val="24"/>
              </w:rPr>
              <w:t>based on table 2 below</w:t>
            </w:r>
          </w:p>
        </w:tc>
      </w:tr>
      <w:tr w:rsidR="00806086">
        <w:trPr>
          <w:cantSplit/>
        </w:trPr>
        <w:tc>
          <w:tcPr>
            <w:tcW w:w="1895" w:type="dxa"/>
          </w:tcPr>
          <w:p w:rsidR="00806086" w:rsidRDefault="00806086">
            <w:pPr>
              <w:rPr>
                <w:rFonts w:cs="Arial"/>
                <w:szCs w:val="24"/>
              </w:rPr>
            </w:pPr>
            <w:r>
              <w:rPr>
                <w:rFonts w:cs="Arial"/>
                <w:szCs w:val="24"/>
              </w:rPr>
              <w:t>Part Time – Full Year</w:t>
            </w:r>
          </w:p>
        </w:tc>
        <w:tc>
          <w:tcPr>
            <w:tcW w:w="3077" w:type="dxa"/>
          </w:tcPr>
          <w:p w:rsidR="00806086" w:rsidRDefault="00806086">
            <w:pPr>
              <w:rPr>
                <w:rFonts w:cs="Arial"/>
                <w:szCs w:val="24"/>
              </w:rPr>
            </w:pPr>
            <w:r>
              <w:rPr>
                <w:rFonts w:cs="Arial"/>
                <w:szCs w:val="24"/>
              </w:rPr>
              <w:t>Employed part time 20 hours per week</w:t>
            </w:r>
          </w:p>
          <w:p w:rsidR="00806086" w:rsidRDefault="00806086">
            <w:pPr>
              <w:rPr>
                <w:rFonts w:cs="Arial"/>
                <w:szCs w:val="24"/>
              </w:rPr>
            </w:pPr>
          </w:p>
          <w:p w:rsidR="00806086" w:rsidRDefault="00806086">
            <w:pPr>
              <w:rPr>
                <w:rFonts w:cs="Arial"/>
                <w:szCs w:val="24"/>
              </w:rPr>
            </w:pPr>
            <w:r>
              <w:rPr>
                <w:rFonts w:cs="Arial"/>
                <w:szCs w:val="24"/>
              </w:rPr>
              <w:t>Full time for post is 37.00 hours per week</w:t>
            </w:r>
            <w:r w:rsidR="001840F2">
              <w:rPr>
                <w:rFonts w:cs="Arial"/>
                <w:szCs w:val="24"/>
              </w:rPr>
              <w:t xml:space="preserve"> (</w:t>
            </w:r>
            <w:r w:rsidR="00606323">
              <w:rPr>
                <w:rFonts w:cs="Arial"/>
                <w:szCs w:val="24"/>
              </w:rPr>
              <w:t>£37,000 pa)</w:t>
            </w:r>
          </w:p>
          <w:p w:rsidR="00806086" w:rsidRDefault="00806086">
            <w:pPr>
              <w:rPr>
                <w:rFonts w:cs="Arial"/>
                <w:szCs w:val="24"/>
              </w:rPr>
            </w:pPr>
          </w:p>
          <w:p w:rsidR="00806086" w:rsidRDefault="00806086">
            <w:pPr>
              <w:rPr>
                <w:rFonts w:cs="Arial"/>
                <w:szCs w:val="24"/>
              </w:rPr>
            </w:pPr>
            <w:r>
              <w:rPr>
                <w:rFonts w:cs="Arial"/>
                <w:szCs w:val="24"/>
              </w:rPr>
              <w:t>Rate of part-time pensi</w:t>
            </w:r>
            <w:r w:rsidR="009401FB">
              <w:rPr>
                <w:rFonts w:cs="Arial"/>
                <w:szCs w:val="24"/>
              </w:rPr>
              <w:t xml:space="preserve">onable pay @ </w:t>
            </w:r>
            <w:r w:rsidR="00F36E4E">
              <w:rPr>
                <w:rFonts w:cs="Arial"/>
                <w:szCs w:val="24"/>
              </w:rPr>
              <w:t>1 April</w:t>
            </w:r>
            <w:r w:rsidR="009401FB">
              <w:rPr>
                <w:rFonts w:cs="Arial"/>
                <w:szCs w:val="24"/>
              </w:rPr>
              <w:t xml:space="preserve"> = £20,000</w:t>
            </w:r>
          </w:p>
          <w:p w:rsidR="00806086" w:rsidRDefault="00806086">
            <w:pPr>
              <w:rPr>
                <w:rFonts w:cs="Arial"/>
                <w:szCs w:val="24"/>
              </w:rPr>
            </w:pPr>
          </w:p>
        </w:tc>
        <w:tc>
          <w:tcPr>
            <w:tcW w:w="2534" w:type="dxa"/>
          </w:tcPr>
          <w:p w:rsidR="00806086" w:rsidRDefault="00806086">
            <w:pPr>
              <w:rPr>
                <w:rFonts w:cs="Arial"/>
                <w:szCs w:val="24"/>
              </w:rPr>
            </w:pPr>
            <w:r>
              <w:rPr>
                <w:rFonts w:cs="Arial"/>
                <w:szCs w:val="24"/>
              </w:rPr>
              <w:t xml:space="preserve">£20,000 </w:t>
            </w:r>
          </w:p>
          <w:p w:rsidR="00806086" w:rsidRDefault="00806086">
            <w:pPr>
              <w:rPr>
                <w:rFonts w:cs="Arial"/>
                <w:szCs w:val="24"/>
              </w:rPr>
            </w:pPr>
          </w:p>
        </w:tc>
        <w:tc>
          <w:tcPr>
            <w:tcW w:w="1777" w:type="dxa"/>
          </w:tcPr>
          <w:p w:rsidR="00806086" w:rsidRDefault="00521AFB">
            <w:pPr>
              <w:rPr>
                <w:rFonts w:cs="Arial"/>
                <w:szCs w:val="24"/>
              </w:rPr>
            </w:pPr>
            <w:r>
              <w:rPr>
                <w:rFonts w:cs="Arial"/>
                <w:szCs w:val="24"/>
              </w:rPr>
              <w:t xml:space="preserve">5.5% </w:t>
            </w:r>
            <w:r w:rsidR="00806086">
              <w:rPr>
                <w:rFonts w:cs="Arial"/>
                <w:szCs w:val="24"/>
              </w:rPr>
              <w:t>based on table 2 below</w:t>
            </w:r>
          </w:p>
        </w:tc>
      </w:tr>
      <w:tr w:rsidR="009C580A">
        <w:trPr>
          <w:cantSplit/>
        </w:trPr>
        <w:tc>
          <w:tcPr>
            <w:tcW w:w="1895" w:type="dxa"/>
          </w:tcPr>
          <w:p w:rsidR="009C580A" w:rsidRDefault="009C580A">
            <w:pPr>
              <w:rPr>
                <w:rFonts w:cs="Arial"/>
                <w:szCs w:val="24"/>
              </w:rPr>
            </w:pPr>
            <w:r>
              <w:rPr>
                <w:rFonts w:cs="Arial"/>
                <w:szCs w:val="24"/>
              </w:rPr>
              <w:lastRenderedPageBreak/>
              <w:t>Part-time –</w:t>
            </w:r>
          </w:p>
          <w:p w:rsidR="009C580A" w:rsidRDefault="009C580A" w:rsidP="009C580A">
            <w:pPr>
              <w:rPr>
                <w:rFonts w:cs="Arial"/>
                <w:szCs w:val="24"/>
              </w:rPr>
            </w:pPr>
            <w:r>
              <w:rPr>
                <w:rFonts w:cs="Arial"/>
                <w:szCs w:val="24"/>
              </w:rPr>
              <w:t>Full</w:t>
            </w:r>
            <w:r w:rsidR="00521AFB">
              <w:rPr>
                <w:rFonts w:cs="Arial"/>
                <w:szCs w:val="24"/>
              </w:rPr>
              <w:t xml:space="preserve"> </w:t>
            </w:r>
            <w:r>
              <w:rPr>
                <w:rFonts w:cs="Arial"/>
                <w:szCs w:val="24"/>
              </w:rPr>
              <w:t>Year –</w:t>
            </w:r>
          </w:p>
          <w:p w:rsidR="009C580A" w:rsidRDefault="009C580A" w:rsidP="009C580A">
            <w:pPr>
              <w:rPr>
                <w:rFonts w:cs="Arial"/>
                <w:szCs w:val="24"/>
              </w:rPr>
            </w:pPr>
            <w:r>
              <w:rPr>
                <w:rFonts w:cs="Arial"/>
                <w:szCs w:val="24"/>
              </w:rPr>
              <w:t>with additional hours</w:t>
            </w:r>
          </w:p>
        </w:tc>
        <w:tc>
          <w:tcPr>
            <w:tcW w:w="3077" w:type="dxa"/>
          </w:tcPr>
          <w:p w:rsidR="009C580A" w:rsidRDefault="009C580A" w:rsidP="009C580A">
            <w:pPr>
              <w:rPr>
                <w:rFonts w:cs="Arial"/>
                <w:szCs w:val="24"/>
              </w:rPr>
            </w:pPr>
            <w:r>
              <w:rPr>
                <w:rFonts w:cs="Arial"/>
                <w:szCs w:val="24"/>
              </w:rPr>
              <w:t xml:space="preserve">Employed part time </w:t>
            </w:r>
            <w:r w:rsidR="00521AFB">
              <w:rPr>
                <w:rFonts w:cs="Arial"/>
                <w:szCs w:val="24"/>
              </w:rPr>
              <w:t xml:space="preserve">35 </w:t>
            </w:r>
            <w:r>
              <w:rPr>
                <w:rFonts w:cs="Arial"/>
                <w:szCs w:val="24"/>
              </w:rPr>
              <w:t>hours per week</w:t>
            </w:r>
          </w:p>
          <w:p w:rsidR="009C580A" w:rsidRDefault="009C580A" w:rsidP="009C580A">
            <w:pPr>
              <w:rPr>
                <w:rFonts w:cs="Arial"/>
                <w:szCs w:val="24"/>
              </w:rPr>
            </w:pPr>
          </w:p>
          <w:p w:rsidR="009C580A" w:rsidRDefault="009C580A" w:rsidP="009C580A">
            <w:pPr>
              <w:rPr>
                <w:rFonts w:cs="Arial"/>
                <w:szCs w:val="24"/>
              </w:rPr>
            </w:pPr>
            <w:r>
              <w:rPr>
                <w:rFonts w:cs="Arial"/>
                <w:szCs w:val="24"/>
              </w:rPr>
              <w:t xml:space="preserve">Works average additional hours (over the year to </w:t>
            </w:r>
            <w:r w:rsidR="00521AFB">
              <w:rPr>
                <w:rFonts w:cs="Arial"/>
                <w:szCs w:val="24"/>
              </w:rPr>
              <w:t>31 March</w:t>
            </w:r>
            <w:r w:rsidR="001840F2">
              <w:rPr>
                <w:rFonts w:cs="Arial"/>
                <w:szCs w:val="24"/>
              </w:rPr>
              <w:t xml:space="preserve">) </w:t>
            </w:r>
            <w:r w:rsidR="00521AFB">
              <w:rPr>
                <w:rFonts w:cs="Arial"/>
                <w:szCs w:val="24"/>
              </w:rPr>
              <w:t>3</w:t>
            </w:r>
            <w:r w:rsidR="001840F2">
              <w:rPr>
                <w:rFonts w:cs="Arial"/>
                <w:szCs w:val="24"/>
              </w:rPr>
              <w:t xml:space="preserve"> per week</w:t>
            </w:r>
          </w:p>
          <w:p w:rsidR="009C580A" w:rsidRDefault="009C580A" w:rsidP="009C580A">
            <w:pPr>
              <w:rPr>
                <w:rFonts w:cs="Arial"/>
                <w:szCs w:val="24"/>
              </w:rPr>
            </w:pPr>
          </w:p>
          <w:p w:rsidR="009C580A" w:rsidRDefault="009C580A" w:rsidP="009C580A">
            <w:pPr>
              <w:rPr>
                <w:rFonts w:cs="Arial"/>
                <w:szCs w:val="24"/>
              </w:rPr>
            </w:pPr>
            <w:r>
              <w:rPr>
                <w:rFonts w:cs="Arial"/>
                <w:szCs w:val="24"/>
              </w:rPr>
              <w:t>Full time for post is 37.00 hours per week</w:t>
            </w:r>
          </w:p>
          <w:p w:rsidR="009C580A" w:rsidRDefault="009C580A" w:rsidP="009C580A">
            <w:pPr>
              <w:rPr>
                <w:rFonts w:cs="Arial"/>
                <w:szCs w:val="24"/>
              </w:rPr>
            </w:pPr>
          </w:p>
          <w:p w:rsidR="009C580A" w:rsidRDefault="009C580A" w:rsidP="009C580A">
            <w:pPr>
              <w:rPr>
                <w:rFonts w:cs="Arial"/>
                <w:szCs w:val="24"/>
              </w:rPr>
            </w:pPr>
            <w:r>
              <w:rPr>
                <w:rFonts w:cs="Arial"/>
                <w:szCs w:val="24"/>
              </w:rPr>
              <w:t xml:space="preserve">Rate of part-time pensionable pay @ </w:t>
            </w:r>
            <w:r w:rsidR="00F36E4E">
              <w:rPr>
                <w:rFonts w:cs="Arial"/>
                <w:szCs w:val="24"/>
              </w:rPr>
              <w:t>1 April</w:t>
            </w:r>
            <w:r>
              <w:rPr>
                <w:rFonts w:cs="Arial"/>
                <w:szCs w:val="24"/>
              </w:rPr>
              <w:t xml:space="preserve"> = £</w:t>
            </w:r>
            <w:r w:rsidR="001840F2">
              <w:rPr>
                <w:rFonts w:cs="Arial"/>
                <w:szCs w:val="24"/>
              </w:rPr>
              <w:t>8 per hour</w:t>
            </w:r>
          </w:p>
          <w:p w:rsidR="009C580A" w:rsidRDefault="009C580A">
            <w:pPr>
              <w:rPr>
                <w:rFonts w:cs="Arial"/>
                <w:szCs w:val="24"/>
              </w:rPr>
            </w:pPr>
          </w:p>
        </w:tc>
        <w:tc>
          <w:tcPr>
            <w:tcW w:w="2534" w:type="dxa"/>
          </w:tcPr>
          <w:p w:rsidR="00521AFB" w:rsidRDefault="00521AFB">
            <w:pPr>
              <w:rPr>
                <w:rFonts w:cs="Arial"/>
                <w:szCs w:val="24"/>
              </w:rPr>
            </w:pPr>
            <w:r>
              <w:rPr>
                <w:rFonts w:cs="Arial"/>
                <w:szCs w:val="24"/>
              </w:rPr>
              <w:t xml:space="preserve">Based on additional hours up to standard F/T hours for that employment </w:t>
            </w:r>
          </w:p>
          <w:p w:rsidR="009C580A" w:rsidRDefault="003538C1">
            <w:pPr>
              <w:rPr>
                <w:rFonts w:cs="Arial"/>
                <w:szCs w:val="24"/>
              </w:rPr>
            </w:pPr>
            <w:r>
              <w:rPr>
                <w:rFonts w:cs="Arial"/>
                <w:szCs w:val="24"/>
              </w:rPr>
              <w:t>(</w:t>
            </w:r>
            <w:r w:rsidR="00521AFB">
              <w:rPr>
                <w:rFonts w:cs="Arial"/>
                <w:szCs w:val="24"/>
              </w:rPr>
              <w:t>37</w:t>
            </w:r>
            <w:r w:rsidR="001840F2">
              <w:rPr>
                <w:rFonts w:cs="Arial"/>
                <w:szCs w:val="24"/>
              </w:rPr>
              <w:t xml:space="preserve"> x £8</w:t>
            </w:r>
            <w:r>
              <w:rPr>
                <w:rFonts w:cs="Arial"/>
                <w:szCs w:val="24"/>
              </w:rPr>
              <w:t xml:space="preserve"> = £</w:t>
            </w:r>
            <w:r w:rsidR="00521AFB">
              <w:rPr>
                <w:rFonts w:cs="Arial"/>
                <w:szCs w:val="24"/>
              </w:rPr>
              <w:t>296</w:t>
            </w:r>
            <w:r>
              <w:rPr>
                <w:rFonts w:cs="Arial"/>
                <w:szCs w:val="24"/>
              </w:rPr>
              <w:t>)</w:t>
            </w:r>
          </w:p>
          <w:p w:rsidR="001840F2" w:rsidRDefault="001840F2" w:rsidP="00521AFB">
            <w:pPr>
              <w:rPr>
                <w:rFonts w:cs="Arial"/>
                <w:szCs w:val="24"/>
              </w:rPr>
            </w:pPr>
            <w:r>
              <w:rPr>
                <w:rFonts w:cs="Arial"/>
                <w:szCs w:val="24"/>
              </w:rPr>
              <w:t>£</w:t>
            </w:r>
            <w:r w:rsidR="00521AFB">
              <w:rPr>
                <w:rFonts w:cs="Arial"/>
                <w:szCs w:val="24"/>
              </w:rPr>
              <w:t>296</w:t>
            </w:r>
            <w:r>
              <w:rPr>
                <w:rFonts w:cs="Arial"/>
                <w:szCs w:val="24"/>
              </w:rPr>
              <w:t xml:space="preserve"> x 52</w:t>
            </w:r>
            <w:r w:rsidR="006F0710">
              <w:rPr>
                <w:rStyle w:val="FootnoteReference"/>
                <w:rFonts w:cs="Arial"/>
                <w:szCs w:val="24"/>
              </w:rPr>
              <w:footnoteReference w:id="1"/>
            </w:r>
            <w:r>
              <w:rPr>
                <w:rFonts w:cs="Arial"/>
                <w:szCs w:val="24"/>
              </w:rPr>
              <w:t xml:space="preserve"> =</w:t>
            </w:r>
            <w:r w:rsidR="003538C1">
              <w:rPr>
                <w:rFonts w:cs="Arial"/>
                <w:szCs w:val="24"/>
              </w:rPr>
              <w:t xml:space="preserve"> </w:t>
            </w:r>
            <w:r>
              <w:rPr>
                <w:rFonts w:cs="Arial"/>
                <w:szCs w:val="24"/>
              </w:rPr>
              <w:t>£</w:t>
            </w:r>
            <w:r w:rsidR="00521AFB">
              <w:rPr>
                <w:rFonts w:cs="Arial"/>
                <w:szCs w:val="24"/>
              </w:rPr>
              <w:t>15,392</w:t>
            </w:r>
          </w:p>
        </w:tc>
        <w:tc>
          <w:tcPr>
            <w:tcW w:w="1777" w:type="dxa"/>
          </w:tcPr>
          <w:p w:rsidR="009C580A" w:rsidRDefault="001840F2" w:rsidP="001840F2">
            <w:pPr>
              <w:rPr>
                <w:rFonts w:cs="Arial"/>
                <w:szCs w:val="24"/>
              </w:rPr>
            </w:pPr>
            <w:r>
              <w:rPr>
                <w:rFonts w:cs="Arial"/>
                <w:szCs w:val="24"/>
              </w:rPr>
              <w:t>5.5%</w:t>
            </w:r>
          </w:p>
        </w:tc>
      </w:tr>
      <w:tr w:rsidR="00806086">
        <w:trPr>
          <w:cantSplit/>
        </w:trPr>
        <w:tc>
          <w:tcPr>
            <w:tcW w:w="1895" w:type="dxa"/>
          </w:tcPr>
          <w:p w:rsidR="00806086" w:rsidRDefault="00806086">
            <w:pPr>
              <w:rPr>
                <w:rFonts w:cs="Arial"/>
                <w:szCs w:val="24"/>
              </w:rPr>
            </w:pPr>
            <w:r>
              <w:rPr>
                <w:rFonts w:cs="Arial"/>
                <w:szCs w:val="24"/>
              </w:rPr>
              <w:t>Full Time - Part Year</w:t>
            </w:r>
          </w:p>
        </w:tc>
        <w:tc>
          <w:tcPr>
            <w:tcW w:w="3077" w:type="dxa"/>
          </w:tcPr>
          <w:p w:rsidR="00806086" w:rsidRDefault="00806086">
            <w:pPr>
              <w:rPr>
                <w:rFonts w:cs="Arial"/>
                <w:szCs w:val="24"/>
              </w:rPr>
            </w:pPr>
            <w:r>
              <w:rPr>
                <w:rFonts w:cs="Arial"/>
                <w:szCs w:val="24"/>
              </w:rPr>
              <w:t xml:space="preserve">Employed full time </w:t>
            </w:r>
          </w:p>
          <w:p w:rsidR="00806086" w:rsidRDefault="00806086">
            <w:pPr>
              <w:rPr>
                <w:rFonts w:cs="Arial"/>
                <w:szCs w:val="24"/>
              </w:rPr>
            </w:pPr>
          </w:p>
          <w:p w:rsidR="00806086" w:rsidRDefault="00806086">
            <w:pPr>
              <w:rPr>
                <w:rFonts w:cs="Arial"/>
                <w:szCs w:val="24"/>
              </w:rPr>
            </w:pPr>
            <w:r>
              <w:rPr>
                <w:rFonts w:cs="Arial"/>
                <w:szCs w:val="24"/>
              </w:rPr>
              <w:t xml:space="preserve">Continuous employment from 1 July </w:t>
            </w:r>
          </w:p>
          <w:p w:rsidR="00806086" w:rsidRDefault="00806086">
            <w:pPr>
              <w:rPr>
                <w:rFonts w:cs="Arial"/>
                <w:szCs w:val="24"/>
              </w:rPr>
            </w:pPr>
          </w:p>
          <w:p w:rsidR="00806086" w:rsidRDefault="00806086">
            <w:pPr>
              <w:rPr>
                <w:rFonts w:cs="Arial"/>
                <w:szCs w:val="24"/>
              </w:rPr>
            </w:pPr>
            <w:r>
              <w:rPr>
                <w:rFonts w:cs="Arial"/>
                <w:szCs w:val="24"/>
              </w:rPr>
              <w:t>Rate of pensionable pay @ 1 July = £ 13,333</w:t>
            </w:r>
          </w:p>
          <w:p w:rsidR="00806086" w:rsidRDefault="00806086">
            <w:pPr>
              <w:rPr>
                <w:rFonts w:cs="Arial"/>
                <w:szCs w:val="24"/>
              </w:rPr>
            </w:pPr>
          </w:p>
          <w:p w:rsidR="00806086" w:rsidRDefault="00806086">
            <w:pPr>
              <w:rPr>
                <w:rFonts w:cs="Arial"/>
                <w:szCs w:val="24"/>
              </w:rPr>
            </w:pPr>
          </w:p>
        </w:tc>
        <w:tc>
          <w:tcPr>
            <w:tcW w:w="2534" w:type="dxa"/>
          </w:tcPr>
          <w:p w:rsidR="00806086" w:rsidRDefault="00806086">
            <w:pPr>
              <w:rPr>
                <w:rFonts w:cs="Arial"/>
                <w:szCs w:val="24"/>
              </w:rPr>
            </w:pPr>
            <w:r>
              <w:rPr>
                <w:rFonts w:cs="Arial"/>
                <w:szCs w:val="24"/>
              </w:rPr>
              <w:t xml:space="preserve">£13,333 </w:t>
            </w:r>
          </w:p>
          <w:p w:rsidR="00806086" w:rsidRDefault="00806086">
            <w:pPr>
              <w:rPr>
                <w:rFonts w:cs="Arial"/>
                <w:szCs w:val="24"/>
              </w:rPr>
            </w:pPr>
            <w:r>
              <w:rPr>
                <w:rFonts w:cs="Arial"/>
                <w:szCs w:val="24"/>
              </w:rPr>
              <w:t xml:space="preserve">Employer will set a new rate </w:t>
            </w:r>
            <w:r w:rsidR="009401FB">
              <w:rPr>
                <w:rFonts w:cs="Arial"/>
                <w:szCs w:val="24"/>
              </w:rPr>
              <w:t xml:space="preserve">for the following year based on the rate of </w:t>
            </w:r>
            <w:r>
              <w:rPr>
                <w:rFonts w:cs="Arial"/>
                <w:szCs w:val="24"/>
              </w:rPr>
              <w:t xml:space="preserve">pensionable pay </w:t>
            </w:r>
            <w:r w:rsidR="009401FB">
              <w:rPr>
                <w:rFonts w:cs="Arial"/>
                <w:szCs w:val="24"/>
              </w:rPr>
              <w:t xml:space="preserve">at </w:t>
            </w:r>
            <w:r w:rsidR="00F36E4E">
              <w:rPr>
                <w:rFonts w:cs="Arial"/>
                <w:szCs w:val="24"/>
              </w:rPr>
              <w:t>1 April</w:t>
            </w:r>
            <w:r w:rsidR="009401FB">
              <w:rPr>
                <w:rFonts w:cs="Arial"/>
                <w:szCs w:val="24"/>
              </w:rPr>
              <w:t xml:space="preserve"> </w:t>
            </w:r>
          </w:p>
          <w:p w:rsidR="00806086" w:rsidRDefault="00806086">
            <w:pPr>
              <w:rPr>
                <w:rFonts w:cs="Arial"/>
                <w:szCs w:val="24"/>
              </w:rPr>
            </w:pPr>
          </w:p>
        </w:tc>
        <w:tc>
          <w:tcPr>
            <w:tcW w:w="1777" w:type="dxa"/>
          </w:tcPr>
          <w:p w:rsidR="00806086" w:rsidRDefault="00806086">
            <w:pPr>
              <w:rPr>
                <w:rFonts w:cs="Arial"/>
                <w:szCs w:val="24"/>
              </w:rPr>
            </w:pPr>
            <w:r>
              <w:rPr>
                <w:rFonts w:cs="Arial"/>
                <w:szCs w:val="24"/>
              </w:rPr>
              <w:t>5.5%</w:t>
            </w:r>
          </w:p>
        </w:tc>
      </w:tr>
      <w:tr w:rsidR="00806086">
        <w:trPr>
          <w:cantSplit/>
        </w:trPr>
        <w:tc>
          <w:tcPr>
            <w:tcW w:w="1895" w:type="dxa"/>
          </w:tcPr>
          <w:p w:rsidR="00806086" w:rsidRDefault="009401FB">
            <w:pPr>
              <w:rPr>
                <w:rFonts w:cs="Arial"/>
                <w:szCs w:val="24"/>
              </w:rPr>
            </w:pPr>
            <w:r>
              <w:rPr>
                <w:rFonts w:cs="Arial"/>
                <w:szCs w:val="24"/>
              </w:rPr>
              <w:t>P</w:t>
            </w:r>
            <w:r w:rsidR="00806086">
              <w:rPr>
                <w:rFonts w:cs="Arial"/>
                <w:szCs w:val="24"/>
              </w:rPr>
              <w:t>art Time – Part Year</w:t>
            </w:r>
          </w:p>
        </w:tc>
        <w:tc>
          <w:tcPr>
            <w:tcW w:w="3077" w:type="dxa"/>
          </w:tcPr>
          <w:p w:rsidR="00806086" w:rsidRDefault="00806086">
            <w:pPr>
              <w:rPr>
                <w:rFonts w:cs="Arial"/>
                <w:szCs w:val="24"/>
              </w:rPr>
            </w:pPr>
            <w:r>
              <w:rPr>
                <w:rFonts w:cs="Arial"/>
                <w:szCs w:val="24"/>
              </w:rPr>
              <w:t>Employed part time 20 hours per week</w:t>
            </w:r>
          </w:p>
          <w:p w:rsidR="00806086" w:rsidRDefault="00806086">
            <w:pPr>
              <w:rPr>
                <w:rFonts w:cs="Arial"/>
                <w:szCs w:val="24"/>
              </w:rPr>
            </w:pPr>
          </w:p>
          <w:p w:rsidR="00806086" w:rsidRDefault="00806086">
            <w:pPr>
              <w:rPr>
                <w:rFonts w:cs="Arial"/>
                <w:szCs w:val="24"/>
              </w:rPr>
            </w:pPr>
            <w:r>
              <w:rPr>
                <w:rFonts w:cs="Arial"/>
                <w:szCs w:val="24"/>
              </w:rPr>
              <w:t>Full time for post is 40 hours per week</w:t>
            </w:r>
          </w:p>
          <w:p w:rsidR="00806086" w:rsidRDefault="00806086">
            <w:pPr>
              <w:rPr>
                <w:rFonts w:cs="Arial"/>
                <w:szCs w:val="24"/>
              </w:rPr>
            </w:pPr>
          </w:p>
          <w:p w:rsidR="00806086" w:rsidRDefault="00806086">
            <w:pPr>
              <w:rPr>
                <w:rFonts w:cs="Arial"/>
                <w:szCs w:val="24"/>
              </w:rPr>
            </w:pPr>
            <w:r>
              <w:rPr>
                <w:rFonts w:cs="Arial"/>
                <w:szCs w:val="24"/>
              </w:rPr>
              <w:t xml:space="preserve">Continuous employment from 1 September </w:t>
            </w:r>
          </w:p>
          <w:p w:rsidR="00806086" w:rsidRDefault="00806086">
            <w:pPr>
              <w:rPr>
                <w:rFonts w:cs="Arial"/>
                <w:szCs w:val="24"/>
              </w:rPr>
            </w:pPr>
          </w:p>
          <w:p w:rsidR="00806086" w:rsidRDefault="00806086">
            <w:pPr>
              <w:rPr>
                <w:rFonts w:cs="Arial"/>
                <w:szCs w:val="24"/>
              </w:rPr>
            </w:pPr>
            <w:r>
              <w:rPr>
                <w:rFonts w:cs="Arial"/>
                <w:szCs w:val="24"/>
              </w:rPr>
              <w:t xml:space="preserve">Rate of part time pensionable pay = </w:t>
            </w:r>
          </w:p>
          <w:p w:rsidR="00806086" w:rsidRDefault="00806086">
            <w:pPr>
              <w:rPr>
                <w:rFonts w:cs="Arial"/>
                <w:szCs w:val="24"/>
              </w:rPr>
            </w:pPr>
            <w:r>
              <w:rPr>
                <w:rFonts w:cs="Arial"/>
                <w:szCs w:val="24"/>
              </w:rPr>
              <w:t xml:space="preserve">£17,143 </w:t>
            </w:r>
            <w:proofErr w:type="spellStart"/>
            <w:r>
              <w:rPr>
                <w:rFonts w:cs="Arial"/>
                <w:szCs w:val="24"/>
              </w:rPr>
              <w:t>p.a</w:t>
            </w:r>
            <w:proofErr w:type="spellEnd"/>
          </w:p>
          <w:p w:rsidR="00806086" w:rsidRDefault="00806086">
            <w:pPr>
              <w:rPr>
                <w:rFonts w:cs="Arial"/>
                <w:szCs w:val="24"/>
              </w:rPr>
            </w:pPr>
          </w:p>
        </w:tc>
        <w:tc>
          <w:tcPr>
            <w:tcW w:w="2534" w:type="dxa"/>
          </w:tcPr>
          <w:p w:rsidR="009401FB" w:rsidRDefault="00806086">
            <w:pPr>
              <w:rPr>
                <w:rFonts w:cs="Arial"/>
                <w:szCs w:val="24"/>
              </w:rPr>
            </w:pPr>
            <w:r>
              <w:rPr>
                <w:rFonts w:cs="Arial"/>
                <w:szCs w:val="24"/>
              </w:rPr>
              <w:t xml:space="preserve">£17,143 </w:t>
            </w:r>
          </w:p>
          <w:p w:rsidR="009401FB" w:rsidRDefault="009401FB">
            <w:pPr>
              <w:rPr>
                <w:rFonts w:cs="Arial"/>
                <w:szCs w:val="24"/>
              </w:rPr>
            </w:pPr>
          </w:p>
          <w:p w:rsidR="009401FB" w:rsidRDefault="00806086" w:rsidP="009401FB">
            <w:pPr>
              <w:rPr>
                <w:rFonts w:cs="Arial"/>
                <w:szCs w:val="24"/>
              </w:rPr>
            </w:pPr>
            <w:r>
              <w:rPr>
                <w:rFonts w:cs="Arial"/>
                <w:szCs w:val="24"/>
              </w:rPr>
              <w:br/>
            </w:r>
            <w:r w:rsidR="009401FB">
              <w:rPr>
                <w:rFonts w:cs="Arial"/>
                <w:szCs w:val="24"/>
              </w:rPr>
              <w:t xml:space="preserve">Employer will set a new rate for the following year based on the rate of pensionable pay at </w:t>
            </w:r>
            <w:r w:rsidR="00F36E4E">
              <w:rPr>
                <w:rFonts w:cs="Arial"/>
                <w:szCs w:val="24"/>
              </w:rPr>
              <w:t>1 April</w:t>
            </w:r>
            <w:r w:rsidR="009401FB">
              <w:rPr>
                <w:rFonts w:cs="Arial"/>
                <w:szCs w:val="24"/>
              </w:rPr>
              <w:t xml:space="preserve"> </w:t>
            </w:r>
          </w:p>
          <w:p w:rsidR="00806086" w:rsidRDefault="00806086">
            <w:pPr>
              <w:rPr>
                <w:rFonts w:cs="Arial"/>
                <w:szCs w:val="24"/>
              </w:rPr>
            </w:pPr>
          </w:p>
          <w:p w:rsidR="00806086" w:rsidRDefault="00806086">
            <w:pPr>
              <w:rPr>
                <w:rFonts w:cs="Arial"/>
                <w:szCs w:val="24"/>
              </w:rPr>
            </w:pPr>
            <w:r>
              <w:rPr>
                <w:rFonts w:cs="Arial"/>
                <w:szCs w:val="24"/>
              </w:rPr>
              <w:t xml:space="preserve"> </w:t>
            </w:r>
          </w:p>
        </w:tc>
        <w:tc>
          <w:tcPr>
            <w:tcW w:w="1777" w:type="dxa"/>
          </w:tcPr>
          <w:p w:rsidR="00806086" w:rsidRDefault="002D5502">
            <w:pPr>
              <w:rPr>
                <w:rFonts w:cs="Arial"/>
                <w:szCs w:val="24"/>
              </w:rPr>
            </w:pPr>
            <w:r>
              <w:rPr>
                <w:rFonts w:cs="Arial"/>
                <w:szCs w:val="24"/>
              </w:rPr>
              <w:t xml:space="preserve">5.5% </w:t>
            </w:r>
            <w:r w:rsidR="00806086">
              <w:rPr>
                <w:rFonts w:cs="Arial"/>
                <w:szCs w:val="24"/>
              </w:rPr>
              <w:t>based on table 2 below</w:t>
            </w:r>
          </w:p>
        </w:tc>
      </w:tr>
      <w:tr w:rsidR="00806086">
        <w:trPr>
          <w:cantSplit/>
        </w:trPr>
        <w:tc>
          <w:tcPr>
            <w:tcW w:w="1895" w:type="dxa"/>
          </w:tcPr>
          <w:p w:rsidR="00806086" w:rsidRDefault="00806086">
            <w:pPr>
              <w:rPr>
                <w:rFonts w:cs="Arial"/>
                <w:szCs w:val="24"/>
              </w:rPr>
            </w:pPr>
            <w:r>
              <w:rPr>
                <w:rFonts w:cs="Arial"/>
                <w:szCs w:val="24"/>
              </w:rPr>
              <w:lastRenderedPageBreak/>
              <w:t>Concurrent Posts</w:t>
            </w:r>
          </w:p>
        </w:tc>
        <w:tc>
          <w:tcPr>
            <w:tcW w:w="3077" w:type="dxa"/>
          </w:tcPr>
          <w:p w:rsidR="00806086" w:rsidRDefault="00806086">
            <w:pPr>
              <w:rPr>
                <w:rFonts w:cs="Arial"/>
                <w:szCs w:val="24"/>
              </w:rPr>
            </w:pPr>
            <w:r>
              <w:rPr>
                <w:rFonts w:cs="Arial"/>
                <w:szCs w:val="24"/>
              </w:rPr>
              <w:t xml:space="preserve">Employment 1 - Employed part time </w:t>
            </w:r>
            <w:r w:rsidR="009401FB">
              <w:rPr>
                <w:rFonts w:cs="Arial"/>
                <w:szCs w:val="24"/>
              </w:rPr>
              <w:t>18.5</w:t>
            </w:r>
            <w:r>
              <w:rPr>
                <w:rFonts w:cs="Arial"/>
                <w:szCs w:val="24"/>
              </w:rPr>
              <w:t xml:space="preserve"> hour</w:t>
            </w:r>
            <w:r w:rsidR="009401FB">
              <w:rPr>
                <w:rFonts w:cs="Arial"/>
                <w:szCs w:val="24"/>
              </w:rPr>
              <w:t xml:space="preserve">s </w:t>
            </w:r>
            <w:r w:rsidR="002D5502">
              <w:rPr>
                <w:rFonts w:cs="Arial"/>
                <w:szCs w:val="24"/>
              </w:rPr>
              <w:t>from beginning of year</w:t>
            </w:r>
          </w:p>
          <w:p w:rsidR="00806086" w:rsidRDefault="00806086">
            <w:pPr>
              <w:rPr>
                <w:rFonts w:cs="Arial"/>
                <w:szCs w:val="24"/>
              </w:rPr>
            </w:pPr>
          </w:p>
          <w:p w:rsidR="00806086" w:rsidRDefault="00806086">
            <w:pPr>
              <w:rPr>
                <w:rFonts w:cs="Arial"/>
                <w:szCs w:val="24"/>
              </w:rPr>
            </w:pPr>
            <w:r>
              <w:rPr>
                <w:rFonts w:cs="Arial"/>
                <w:szCs w:val="24"/>
              </w:rPr>
              <w:t xml:space="preserve">Full time for post is </w:t>
            </w:r>
            <w:r w:rsidR="009401FB">
              <w:rPr>
                <w:rFonts w:cs="Arial"/>
                <w:szCs w:val="24"/>
              </w:rPr>
              <w:t>37</w:t>
            </w:r>
            <w:r>
              <w:rPr>
                <w:rFonts w:cs="Arial"/>
                <w:szCs w:val="24"/>
              </w:rPr>
              <w:t xml:space="preserve"> hours per week FTE rate of pensionable pay for </w:t>
            </w:r>
            <w:r w:rsidR="009401FB">
              <w:rPr>
                <w:rFonts w:cs="Arial"/>
                <w:szCs w:val="24"/>
              </w:rPr>
              <w:t>E</w:t>
            </w:r>
            <w:r>
              <w:rPr>
                <w:rFonts w:cs="Arial"/>
                <w:szCs w:val="24"/>
              </w:rPr>
              <w:t>mployment 1 = £30,000</w:t>
            </w:r>
          </w:p>
          <w:p w:rsidR="00806086" w:rsidRDefault="00806086">
            <w:pPr>
              <w:rPr>
                <w:rFonts w:cs="Arial"/>
                <w:szCs w:val="24"/>
              </w:rPr>
            </w:pPr>
          </w:p>
          <w:p w:rsidR="00806086" w:rsidRDefault="00806086">
            <w:pPr>
              <w:rPr>
                <w:rFonts w:cs="Arial"/>
                <w:szCs w:val="24"/>
              </w:rPr>
            </w:pPr>
            <w:r>
              <w:rPr>
                <w:rFonts w:cs="Arial"/>
                <w:szCs w:val="24"/>
              </w:rPr>
              <w:t>Also</w:t>
            </w:r>
          </w:p>
          <w:p w:rsidR="00806086" w:rsidRDefault="00806086">
            <w:pPr>
              <w:rPr>
                <w:rFonts w:cs="Arial"/>
                <w:szCs w:val="24"/>
              </w:rPr>
            </w:pPr>
          </w:p>
          <w:p w:rsidR="00806086" w:rsidRDefault="00806086">
            <w:pPr>
              <w:rPr>
                <w:rFonts w:cs="Arial"/>
                <w:szCs w:val="24"/>
              </w:rPr>
            </w:pPr>
            <w:r>
              <w:rPr>
                <w:rFonts w:cs="Arial"/>
                <w:szCs w:val="24"/>
              </w:rPr>
              <w:t xml:space="preserve">Employment 2 - Employed part time </w:t>
            </w:r>
            <w:r w:rsidR="002D5502">
              <w:rPr>
                <w:rFonts w:cs="Arial"/>
                <w:szCs w:val="24"/>
              </w:rPr>
              <w:t xml:space="preserve">18.5 hours </w:t>
            </w:r>
            <w:r>
              <w:rPr>
                <w:rFonts w:cs="Arial"/>
                <w:szCs w:val="24"/>
              </w:rPr>
              <w:t xml:space="preserve">from  1 December </w:t>
            </w:r>
          </w:p>
          <w:p w:rsidR="00806086" w:rsidRDefault="002D5502">
            <w:pPr>
              <w:rPr>
                <w:rFonts w:cs="Arial"/>
                <w:szCs w:val="24"/>
              </w:rPr>
            </w:pPr>
            <w:r>
              <w:rPr>
                <w:rFonts w:cs="Arial"/>
                <w:szCs w:val="24"/>
              </w:rPr>
              <w:t>Full time for post is 37 hours per week FTE rate of pensionable pay for Employment 1 = £20,000</w:t>
            </w:r>
          </w:p>
          <w:p w:rsidR="00806086" w:rsidRDefault="00806086">
            <w:pPr>
              <w:rPr>
                <w:rFonts w:cs="Arial"/>
                <w:szCs w:val="24"/>
              </w:rPr>
            </w:pPr>
          </w:p>
        </w:tc>
        <w:tc>
          <w:tcPr>
            <w:tcW w:w="2534" w:type="dxa"/>
          </w:tcPr>
          <w:p w:rsidR="00806086" w:rsidRDefault="00806086">
            <w:pPr>
              <w:rPr>
                <w:rFonts w:cs="Arial"/>
                <w:szCs w:val="24"/>
              </w:rPr>
            </w:pPr>
            <w:r>
              <w:rPr>
                <w:rFonts w:cs="Arial"/>
                <w:szCs w:val="24"/>
              </w:rPr>
              <w:t xml:space="preserve">Contribution rate applicable to </w:t>
            </w:r>
            <w:r w:rsidR="009401FB">
              <w:rPr>
                <w:rFonts w:cs="Arial"/>
                <w:szCs w:val="24"/>
              </w:rPr>
              <w:t>E</w:t>
            </w:r>
            <w:r>
              <w:rPr>
                <w:rFonts w:cs="Arial"/>
                <w:szCs w:val="24"/>
              </w:rPr>
              <w:t>mployment 1 based on £</w:t>
            </w:r>
            <w:r w:rsidR="00212050">
              <w:rPr>
                <w:rFonts w:cs="Arial"/>
                <w:szCs w:val="24"/>
              </w:rPr>
              <w:t>15</w:t>
            </w:r>
            <w:r w:rsidR="009401FB">
              <w:rPr>
                <w:rFonts w:cs="Arial"/>
                <w:szCs w:val="24"/>
              </w:rPr>
              <w:t>,000</w:t>
            </w: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r>
              <w:rPr>
                <w:rFonts w:cs="Arial"/>
                <w:szCs w:val="24"/>
              </w:rPr>
              <w:t>Contribution rate applicable to employment 2 based on £</w:t>
            </w:r>
            <w:r w:rsidR="00212050">
              <w:rPr>
                <w:rFonts w:cs="Arial"/>
                <w:szCs w:val="24"/>
              </w:rPr>
              <w:t>10</w:t>
            </w:r>
            <w:r>
              <w:rPr>
                <w:rFonts w:cs="Arial"/>
                <w:szCs w:val="24"/>
              </w:rPr>
              <w:t xml:space="preserve">,000 </w:t>
            </w:r>
          </w:p>
          <w:p w:rsidR="00806086" w:rsidRDefault="00806086">
            <w:pPr>
              <w:rPr>
                <w:rFonts w:cs="Arial"/>
                <w:szCs w:val="24"/>
              </w:rPr>
            </w:pPr>
          </w:p>
          <w:p w:rsidR="00806086" w:rsidRDefault="00806086">
            <w:pPr>
              <w:rPr>
                <w:rFonts w:cs="Arial"/>
                <w:szCs w:val="24"/>
              </w:rPr>
            </w:pPr>
          </w:p>
        </w:tc>
        <w:tc>
          <w:tcPr>
            <w:tcW w:w="1777" w:type="dxa"/>
          </w:tcPr>
          <w:p w:rsidR="00806086" w:rsidRDefault="00212050">
            <w:pPr>
              <w:rPr>
                <w:rFonts w:cs="Arial"/>
                <w:szCs w:val="24"/>
              </w:rPr>
            </w:pPr>
            <w:r>
              <w:rPr>
                <w:rFonts w:cs="Arial"/>
                <w:szCs w:val="24"/>
              </w:rPr>
              <w:t>5.5</w:t>
            </w:r>
            <w:r w:rsidR="00806086">
              <w:rPr>
                <w:rFonts w:cs="Arial"/>
                <w:szCs w:val="24"/>
              </w:rPr>
              <w:t>%</w:t>
            </w: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806086">
            <w:pPr>
              <w:rPr>
                <w:rFonts w:cs="Arial"/>
                <w:szCs w:val="24"/>
              </w:rPr>
            </w:pPr>
          </w:p>
          <w:p w:rsidR="00806086" w:rsidRDefault="009607F0">
            <w:pPr>
              <w:rPr>
                <w:rFonts w:cs="Arial"/>
                <w:szCs w:val="24"/>
              </w:rPr>
            </w:pPr>
            <w:r>
              <w:rPr>
                <w:rFonts w:cs="Arial"/>
                <w:szCs w:val="24"/>
              </w:rPr>
              <w:t>5.5</w:t>
            </w:r>
            <w:r w:rsidR="00806086">
              <w:rPr>
                <w:rFonts w:cs="Arial"/>
                <w:szCs w:val="24"/>
              </w:rPr>
              <w:t>%</w:t>
            </w:r>
          </w:p>
        </w:tc>
      </w:tr>
    </w:tbl>
    <w:p w:rsidR="00FD3DDD" w:rsidRDefault="00806086">
      <w:pPr>
        <w:rPr>
          <w:b/>
          <w:sz w:val="28"/>
          <w:szCs w:val="28"/>
        </w:rPr>
      </w:pPr>
      <w:r>
        <w:rPr>
          <w:b/>
          <w:sz w:val="28"/>
          <w:szCs w:val="28"/>
        </w:rPr>
        <w:t xml:space="preserve"> </w:t>
      </w:r>
    </w:p>
    <w:p w:rsidR="00FD3DDD" w:rsidRDefault="00FD3DDD">
      <w:pPr>
        <w:tabs>
          <w:tab w:val="clear" w:pos="720"/>
          <w:tab w:val="clear" w:pos="1440"/>
          <w:tab w:val="clear" w:pos="2160"/>
          <w:tab w:val="clear" w:pos="2880"/>
          <w:tab w:val="clear" w:pos="4680"/>
          <w:tab w:val="clear" w:pos="5400"/>
          <w:tab w:val="clear" w:pos="9000"/>
        </w:tabs>
        <w:rPr>
          <w:b/>
          <w:sz w:val="28"/>
          <w:szCs w:val="28"/>
        </w:rPr>
      </w:pPr>
      <w:r>
        <w:rPr>
          <w:b/>
          <w:sz w:val="28"/>
          <w:szCs w:val="28"/>
        </w:rPr>
        <w:br w:type="page"/>
      </w:r>
    </w:p>
    <w:p w:rsidR="00806086" w:rsidRDefault="00806086">
      <w:pPr>
        <w:rPr>
          <w:b/>
          <w:sz w:val="28"/>
          <w:szCs w:val="28"/>
        </w:rPr>
      </w:pPr>
    </w:p>
    <w:p w:rsidR="00806086" w:rsidRDefault="00806086">
      <w:pPr>
        <w:jc w:val="right"/>
        <w:rPr>
          <w:b/>
          <w:sz w:val="28"/>
          <w:szCs w:val="28"/>
        </w:rPr>
      </w:pPr>
      <w:r>
        <w:rPr>
          <w:b/>
          <w:sz w:val="28"/>
          <w:szCs w:val="28"/>
        </w:rPr>
        <w:t>Annex C</w:t>
      </w:r>
    </w:p>
    <w:p w:rsidR="00806086" w:rsidRDefault="00806086">
      <w:pPr>
        <w:jc w:val="right"/>
      </w:pPr>
    </w:p>
    <w:p w:rsidR="00806086" w:rsidRDefault="00806086">
      <w:pPr>
        <w:jc w:val="right"/>
        <w:rPr>
          <w:b/>
          <w:u w:val="single"/>
        </w:rPr>
      </w:pPr>
    </w:p>
    <w:p w:rsidR="00806086" w:rsidRDefault="00806086">
      <w:pPr>
        <w:pStyle w:val="StyleHeading211ptAuto"/>
        <w:ind w:left="0" w:firstLine="0"/>
        <w:rPr>
          <w:rFonts w:cs="Arial"/>
          <w:sz w:val="24"/>
          <w:szCs w:val="24"/>
        </w:rPr>
      </w:pPr>
      <w:r>
        <w:rPr>
          <w:rFonts w:cs="Arial"/>
          <w:sz w:val="24"/>
          <w:szCs w:val="24"/>
          <w:u w:val="single"/>
        </w:rPr>
        <w:t>Contribution Rates Tables</w:t>
      </w:r>
    </w:p>
    <w:p w:rsidR="00806086" w:rsidRDefault="00806086">
      <w:pPr>
        <w:pStyle w:val="StyleHeading211ptAuto"/>
        <w:ind w:left="0" w:firstLine="0"/>
        <w:rPr>
          <w:rFonts w:cs="Arial"/>
          <w:sz w:val="24"/>
          <w:szCs w:val="24"/>
        </w:rPr>
      </w:pPr>
      <w:r>
        <w:rPr>
          <w:rFonts w:cs="Arial"/>
          <w:sz w:val="24"/>
          <w:szCs w:val="24"/>
        </w:rPr>
        <w:t xml:space="preserve">The table for </w:t>
      </w:r>
      <w:r w:rsidR="00B279A8">
        <w:rPr>
          <w:rFonts w:cs="Arial"/>
          <w:sz w:val="24"/>
          <w:szCs w:val="24"/>
        </w:rPr>
        <w:t xml:space="preserve">the allocation of rates for </w:t>
      </w:r>
      <w:r w:rsidR="00196049">
        <w:rPr>
          <w:rFonts w:cs="Arial"/>
          <w:sz w:val="24"/>
          <w:szCs w:val="24"/>
        </w:rPr>
        <w:t>201</w:t>
      </w:r>
      <w:r w:rsidR="00661B87">
        <w:rPr>
          <w:rFonts w:cs="Arial"/>
          <w:sz w:val="24"/>
          <w:szCs w:val="24"/>
        </w:rPr>
        <w:t>7</w:t>
      </w:r>
      <w:r w:rsidR="00B279A8">
        <w:rPr>
          <w:rFonts w:cs="Arial"/>
          <w:sz w:val="24"/>
          <w:szCs w:val="24"/>
        </w:rPr>
        <w:t>/</w:t>
      </w:r>
      <w:r w:rsidR="00196049">
        <w:rPr>
          <w:rFonts w:cs="Arial"/>
          <w:sz w:val="24"/>
          <w:szCs w:val="24"/>
        </w:rPr>
        <w:t>1</w:t>
      </w:r>
      <w:r w:rsidR="00661B87">
        <w:rPr>
          <w:rFonts w:cs="Arial"/>
          <w:sz w:val="24"/>
          <w:szCs w:val="24"/>
        </w:rPr>
        <w:t>8</w:t>
      </w:r>
      <w:r w:rsidR="00CD577C">
        <w:rPr>
          <w:rFonts w:cs="Arial"/>
          <w:sz w:val="24"/>
          <w:szCs w:val="24"/>
        </w:rPr>
        <w:t xml:space="preserve"> </w:t>
      </w:r>
      <w:r>
        <w:rPr>
          <w:rFonts w:cs="Arial"/>
          <w:sz w:val="24"/>
          <w:szCs w:val="24"/>
        </w:rPr>
        <w:t>is:</w:t>
      </w:r>
    </w:p>
    <w:p w:rsidR="00806086" w:rsidRDefault="00806086">
      <w:pPr>
        <w:tabs>
          <w:tab w:val="num" w:pos="24"/>
        </w:tabs>
        <w:ind w:left="24"/>
        <w:rPr>
          <w:rFonts w:cs="Arial"/>
          <w:b/>
          <w:szCs w:val="24"/>
        </w:rPr>
      </w:pPr>
      <w:r>
        <w:rPr>
          <w:rFonts w:cs="Arial"/>
          <w:b/>
          <w:szCs w:val="24"/>
        </w:rPr>
        <w:t>Table 1</w:t>
      </w:r>
    </w:p>
    <w:p w:rsidR="00806086" w:rsidRDefault="00806086">
      <w:pPr>
        <w:tabs>
          <w:tab w:val="clear" w:pos="720"/>
          <w:tab w:val="clear" w:pos="1440"/>
          <w:tab w:val="clear" w:pos="2160"/>
          <w:tab w:val="clear" w:pos="2880"/>
          <w:tab w:val="clear" w:pos="4680"/>
          <w:tab w:val="clear" w:pos="5400"/>
          <w:tab w:val="clear" w:pos="9000"/>
          <w:tab w:val="num" w:pos="24"/>
          <w:tab w:val="left" w:pos="3375"/>
        </w:tabs>
        <w:ind w:left="24"/>
        <w:rPr>
          <w:rFonts w:cs="Arial"/>
          <w:b/>
          <w:szCs w:val="24"/>
        </w:rPr>
      </w:pPr>
      <w:r>
        <w:rPr>
          <w:rFonts w:cs="Arial"/>
          <w:b/>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2"/>
        <w:gridCol w:w="3242"/>
      </w:tblGrid>
      <w:tr w:rsidR="00806086">
        <w:tc>
          <w:tcPr>
            <w:tcW w:w="9854" w:type="dxa"/>
            <w:gridSpan w:val="2"/>
          </w:tcPr>
          <w:p w:rsidR="00806086" w:rsidRDefault="00806086" w:rsidP="00C87620">
            <w:pPr>
              <w:tabs>
                <w:tab w:val="num" w:pos="360"/>
              </w:tabs>
              <w:spacing w:before="120" w:after="120"/>
              <w:ind w:left="48"/>
              <w:rPr>
                <w:rFonts w:cs="Arial"/>
                <w:b/>
                <w:szCs w:val="24"/>
              </w:rPr>
            </w:pPr>
            <w:r>
              <w:rPr>
                <w:rFonts w:cs="Arial"/>
                <w:b/>
                <w:szCs w:val="24"/>
              </w:rPr>
              <w:t>Table 1 - Tiered Contribution Pay Rates</w:t>
            </w:r>
          </w:p>
        </w:tc>
      </w:tr>
      <w:tr w:rsidR="00806086">
        <w:tc>
          <w:tcPr>
            <w:tcW w:w="6612" w:type="dxa"/>
          </w:tcPr>
          <w:p w:rsidR="00806086" w:rsidRDefault="00806086" w:rsidP="00C87620">
            <w:pPr>
              <w:tabs>
                <w:tab w:val="num" w:pos="543"/>
              </w:tabs>
              <w:spacing w:before="120" w:after="120"/>
              <w:rPr>
                <w:rFonts w:cs="Arial"/>
                <w:b/>
                <w:szCs w:val="24"/>
              </w:rPr>
            </w:pPr>
            <w:r>
              <w:rPr>
                <w:rFonts w:cs="Arial"/>
                <w:b/>
                <w:spacing w:val="-5"/>
                <w:szCs w:val="24"/>
              </w:rPr>
              <w:t xml:space="preserve">Pensionable Pay </w:t>
            </w:r>
            <w:r w:rsidR="00B279A8">
              <w:rPr>
                <w:rFonts w:cs="Arial"/>
                <w:b/>
                <w:szCs w:val="24"/>
              </w:rPr>
              <w:t>(</w:t>
            </w:r>
            <w:r w:rsidR="00196049">
              <w:rPr>
                <w:rFonts w:cs="Arial"/>
                <w:b/>
                <w:szCs w:val="24"/>
              </w:rPr>
              <w:t>201</w:t>
            </w:r>
            <w:r w:rsidR="00661B87">
              <w:rPr>
                <w:rFonts w:cs="Arial"/>
                <w:b/>
                <w:szCs w:val="24"/>
              </w:rPr>
              <w:t>7</w:t>
            </w:r>
            <w:r w:rsidR="00CB4B5F">
              <w:rPr>
                <w:rFonts w:cs="Arial"/>
                <w:b/>
                <w:szCs w:val="24"/>
              </w:rPr>
              <w:t>/</w:t>
            </w:r>
            <w:r w:rsidR="00196049">
              <w:rPr>
                <w:rFonts w:cs="Arial"/>
                <w:b/>
                <w:szCs w:val="24"/>
              </w:rPr>
              <w:t>201</w:t>
            </w:r>
            <w:r w:rsidR="00661B87">
              <w:rPr>
                <w:rFonts w:cs="Arial"/>
                <w:b/>
                <w:szCs w:val="24"/>
              </w:rPr>
              <w:t>8</w:t>
            </w:r>
            <w:r w:rsidR="00CB4B5F">
              <w:rPr>
                <w:rFonts w:cs="Arial"/>
                <w:b/>
                <w:szCs w:val="24"/>
              </w:rPr>
              <w:t>)</w:t>
            </w:r>
          </w:p>
        </w:tc>
        <w:tc>
          <w:tcPr>
            <w:tcW w:w="3242" w:type="dxa"/>
          </w:tcPr>
          <w:p w:rsidR="00806086" w:rsidRDefault="00806086">
            <w:pPr>
              <w:tabs>
                <w:tab w:val="clear" w:pos="1440"/>
                <w:tab w:val="clear" w:pos="2160"/>
                <w:tab w:val="clear" w:pos="2880"/>
                <w:tab w:val="clear" w:pos="4680"/>
                <w:tab w:val="clear" w:pos="5400"/>
                <w:tab w:val="clear" w:pos="9000"/>
                <w:tab w:val="num" w:pos="543"/>
              </w:tabs>
              <w:spacing w:before="120" w:after="120"/>
              <w:jc w:val="center"/>
              <w:rPr>
                <w:rFonts w:cs="Arial"/>
                <w:b/>
                <w:szCs w:val="24"/>
              </w:rPr>
            </w:pPr>
            <w:r>
              <w:rPr>
                <w:rFonts w:cs="Arial"/>
                <w:b/>
                <w:spacing w:val="-8"/>
                <w:szCs w:val="24"/>
              </w:rPr>
              <w:t>Rate (%)</w:t>
            </w:r>
          </w:p>
        </w:tc>
      </w:tr>
      <w:tr w:rsidR="00D94D15">
        <w:tc>
          <w:tcPr>
            <w:tcW w:w="6612" w:type="dxa"/>
          </w:tcPr>
          <w:p w:rsidR="00D94D15" w:rsidRDefault="00D94D15" w:rsidP="008D57B5">
            <w:pPr>
              <w:tabs>
                <w:tab w:val="num" w:pos="543"/>
              </w:tabs>
              <w:spacing w:before="120" w:after="120"/>
              <w:rPr>
                <w:rFonts w:cs="Arial"/>
                <w:b/>
                <w:szCs w:val="24"/>
              </w:rPr>
            </w:pPr>
            <w:r>
              <w:rPr>
                <w:rFonts w:cs="Arial"/>
                <w:spacing w:val="-3"/>
                <w:szCs w:val="24"/>
              </w:rPr>
              <w:t xml:space="preserve">On earnings up to and including </w:t>
            </w:r>
            <w:r w:rsidRPr="00937D56">
              <w:rPr>
                <w:rFonts w:cs="Arial"/>
                <w:spacing w:val="-3"/>
                <w:szCs w:val="24"/>
              </w:rPr>
              <w:t>£20,700</w:t>
            </w:r>
          </w:p>
        </w:tc>
        <w:tc>
          <w:tcPr>
            <w:tcW w:w="3242" w:type="dxa"/>
          </w:tcPr>
          <w:p w:rsidR="00D94D15" w:rsidRDefault="00D94D15">
            <w:pPr>
              <w:widowControl w:val="0"/>
              <w:tabs>
                <w:tab w:val="clear" w:pos="720"/>
                <w:tab w:val="left" w:pos="6130"/>
              </w:tabs>
              <w:autoSpaceDE w:val="0"/>
              <w:autoSpaceDN w:val="0"/>
              <w:adjustRightInd w:val="0"/>
              <w:spacing w:before="120" w:after="120" w:line="232" w:lineRule="exact"/>
              <w:ind w:right="38"/>
              <w:jc w:val="center"/>
              <w:rPr>
                <w:rFonts w:cs="Arial"/>
                <w:szCs w:val="24"/>
              </w:rPr>
            </w:pPr>
            <w:r>
              <w:rPr>
                <w:rFonts w:cs="Arial"/>
                <w:spacing w:val="-14"/>
                <w:szCs w:val="24"/>
              </w:rPr>
              <w:t>5.5%</w:t>
            </w:r>
          </w:p>
        </w:tc>
      </w:tr>
      <w:tr w:rsidR="00D94D15">
        <w:tc>
          <w:tcPr>
            <w:tcW w:w="6612" w:type="dxa"/>
          </w:tcPr>
          <w:p w:rsidR="00D94D15" w:rsidRDefault="00D94D15" w:rsidP="008D57B5">
            <w:pPr>
              <w:tabs>
                <w:tab w:val="num" w:pos="543"/>
              </w:tabs>
              <w:spacing w:before="120" w:after="120"/>
              <w:rPr>
                <w:rFonts w:cs="Arial"/>
                <w:b/>
                <w:szCs w:val="24"/>
              </w:rPr>
            </w:pPr>
            <w:r>
              <w:rPr>
                <w:rFonts w:cs="Arial"/>
                <w:spacing w:val="-3"/>
                <w:szCs w:val="24"/>
              </w:rPr>
              <w:t xml:space="preserve">On earnings above </w:t>
            </w:r>
            <w:r w:rsidRPr="00937D56">
              <w:rPr>
                <w:rFonts w:cs="Arial"/>
                <w:spacing w:val="-3"/>
                <w:szCs w:val="24"/>
              </w:rPr>
              <w:t>£20,700</w:t>
            </w:r>
            <w:r>
              <w:rPr>
                <w:rFonts w:cs="Arial"/>
                <w:spacing w:val="-3"/>
                <w:szCs w:val="24"/>
              </w:rPr>
              <w:t xml:space="preserve"> and up to </w:t>
            </w:r>
            <w:r w:rsidRPr="00937D56">
              <w:rPr>
                <w:rFonts w:cs="Arial"/>
                <w:spacing w:val="-3"/>
                <w:szCs w:val="24"/>
              </w:rPr>
              <w:t>£25,300</w:t>
            </w:r>
          </w:p>
        </w:tc>
        <w:tc>
          <w:tcPr>
            <w:tcW w:w="3242" w:type="dxa"/>
          </w:tcPr>
          <w:p w:rsidR="00D94D15" w:rsidRDefault="00D94D15">
            <w:pPr>
              <w:tabs>
                <w:tab w:val="clear" w:pos="720"/>
                <w:tab w:val="clear" w:pos="1440"/>
              </w:tabs>
              <w:spacing w:before="120" w:after="120"/>
              <w:jc w:val="center"/>
              <w:rPr>
                <w:rFonts w:cs="Arial"/>
                <w:b/>
                <w:szCs w:val="24"/>
              </w:rPr>
            </w:pPr>
            <w:r>
              <w:rPr>
                <w:rFonts w:cs="Arial"/>
                <w:spacing w:val="-12"/>
                <w:szCs w:val="24"/>
              </w:rPr>
              <w:t>7.25%</w:t>
            </w:r>
          </w:p>
        </w:tc>
      </w:tr>
      <w:tr w:rsidR="00D94D15">
        <w:tc>
          <w:tcPr>
            <w:tcW w:w="6612" w:type="dxa"/>
          </w:tcPr>
          <w:p w:rsidR="00D94D15" w:rsidRDefault="00D94D15" w:rsidP="008D57B5">
            <w:pPr>
              <w:tabs>
                <w:tab w:val="num" w:pos="543"/>
              </w:tabs>
              <w:spacing w:before="120" w:after="120"/>
              <w:rPr>
                <w:rFonts w:cs="Arial"/>
                <w:b/>
                <w:szCs w:val="24"/>
              </w:rPr>
            </w:pPr>
            <w:r>
              <w:rPr>
                <w:rFonts w:cs="Arial"/>
                <w:spacing w:val="-3"/>
                <w:szCs w:val="24"/>
              </w:rPr>
              <w:t xml:space="preserve">On earnings above </w:t>
            </w:r>
            <w:r w:rsidRPr="00937D56">
              <w:rPr>
                <w:rFonts w:cs="Arial"/>
                <w:spacing w:val="-3"/>
                <w:szCs w:val="24"/>
              </w:rPr>
              <w:t>£25,300</w:t>
            </w:r>
            <w:r>
              <w:rPr>
                <w:rFonts w:cs="Arial"/>
                <w:spacing w:val="-3"/>
                <w:szCs w:val="24"/>
              </w:rPr>
              <w:t xml:space="preserve"> and up to </w:t>
            </w:r>
            <w:r w:rsidRPr="00937D56">
              <w:rPr>
                <w:rFonts w:cs="Arial"/>
                <w:spacing w:val="-3"/>
                <w:szCs w:val="24"/>
              </w:rPr>
              <w:t>£34,700</w:t>
            </w:r>
          </w:p>
        </w:tc>
        <w:tc>
          <w:tcPr>
            <w:tcW w:w="3242" w:type="dxa"/>
          </w:tcPr>
          <w:p w:rsidR="00D94D15" w:rsidRDefault="00D94D15">
            <w:pPr>
              <w:widowControl w:val="0"/>
              <w:tabs>
                <w:tab w:val="clear" w:pos="720"/>
                <w:tab w:val="clear" w:pos="1440"/>
                <w:tab w:val="clear" w:pos="2160"/>
                <w:tab w:val="left" w:pos="2940"/>
                <w:tab w:val="left" w:pos="6130"/>
              </w:tabs>
              <w:autoSpaceDE w:val="0"/>
              <w:autoSpaceDN w:val="0"/>
              <w:adjustRightInd w:val="0"/>
              <w:spacing w:before="120" w:after="120" w:line="235" w:lineRule="exact"/>
              <w:ind w:right="86"/>
              <w:jc w:val="center"/>
              <w:rPr>
                <w:rFonts w:cs="Arial"/>
                <w:szCs w:val="24"/>
              </w:rPr>
            </w:pPr>
            <w:r>
              <w:rPr>
                <w:rFonts w:cs="Arial"/>
                <w:spacing w:val="-14"/>
                <w:szCs w:val="24"/>
              </w:rPr>
              <w:t>8.5%</w:t>
            </w:r>
          </w:p>
        </w:tc>
      </w:tr>
      <w:tr w:rsidR="00D94D15">
        <w:tc>
          <w:tcPr>
            <w:tcW w:w="6612" w:type="dxa"/>
          </w:tcPr>
          <w:p w:rsidR="00D94D15" w:rsidRDefault="00D94D15" w:rsidP="008D57B5">
            <w:pPr>
              <w:tabs>
                <w:tab w:val="num" w:pos="543"/>
              </w:tabs>
              <w:spacing w:before="120" w:after="120"/>
              <w:rPr>
                <w:rFonts w:cs="Arial"/>
                <w:b/>
                <w:szCs w:val="24"/>
              </w:rPr>
            </w:pPr>
            <w:r>
              <w:rPr>
                <w:rFonts w:cs="Arial"/>
                <w:spacing w:val="-3"/>
                <w:szCs w:val="24"/>
              </w:rPr>
              <w:t xml:space="preserve">On earnings above </w:t>
            </w:r>
            <w:r w:rsidRPr="00937D56">
              <w:rPr>
                <w:rFonts w:cs="Arial"/>
                <w:spacing w:val="-3"/>
                <w:szCs w:val="24"/>
              </w:rPr>
              <w:t>£34,700</w:t>
            </w:r>
            <w:r>
              <w:rPr>
                <w:rFonts w:cs="Arial"/>
                <w:spacing w:val="-3"/>
                <w:szCs w:val="24"/>
              </w:rPr>
              <w:t xml:space="preserve"> and up to </w:t>
            </w:r>
            <w:r w:rsidRPr="00937D56">
              <w:rPr>
                <w:rFonts w:cs="Arial"/>
                <w:spacing w:val="-3"/>
                <w:szCs w:val="24"/>
              </w:rPr>
              <w:t>£46,300</w:t>
            </w:r>
          </w:p>
        </w:tc>
        <w:tc>
          <w:tcPr>
            <w:tcW w:w="3242" w:type="dxa"/>
          </w:tcPr>
          <w:p w:rsidR="00D94D15" w:rsidRDefault="00D94D15">
            <w:pPr>
              <w:tabs>
                <w:tab w:val="num" w:pos="543"/>
              </w:tabs>
              <w:spacing w:before="120" w:after="120"/>
              <w:jc w:val="center"/>
              <w:rPr>
                <w:rFonts w:cs="Arial"/>
                <w:b/>
                <w:szCs w:val="24"/>
              </w:rPr>
            </w:pPr>
            <w:r>
              <w:rPr>
                <w:rFonts w:cs="Arial"/>
                <w:spacing w:val="-14"/>
                <w:szCs w:val="24"/>
              </w:rPr>
              <w:t>9.5%</w:t>
            </w:r>
          </w:p>
        </w:tc>
      </w:tr>
      <w:tr w:rsidR="00D94D15">
        <w:tc>
          <w:tcPr>
            <w:tcW w:w="6612" w:type="dxa"/>
          </w:tcPr>
          <w:p w:rsidR="00D94D15" w:rsidRDefault="00D94D15" w:rsidP="008D57B5">
            <w:pPr>
              <w:tabs>
                <w:tab w:val="num" w:pos="543"/>
              </w:tabs>
              <w:spacing w:before="120" w:after="120"/>
              <w:rPr>
                <w:rFonts w:cs="Arial"/>
                <w:b/>
                <w:szCs w:val="24"/>
              </w:rPr>
            </w:pPr>
            <w:r>
              <w:rPr>
                <w:rFonts w:cs="Arial"/>
                <w:spacing w:val="-4"/>
                <w:szCs w:val="24"/>
              </w:rPr>
              <w:t xml:space="preserve">On earnings above </w:t>
            </w:r>
            <w:r w:rsidRPr="00937D56">
              <w:rPr>
                <w:rFonts w:cs="Arial"/>
                <w:spacing w:val="-4"/>
                <w:szCs w:val="24"/>
              </w:rPr>
              <w:t>£46,300</w:t>
            </w:r>
          </w:p>
        </w:tc>
        <w:tc>
          <w:tcPr>
            <w:tcW w:w="3242" w:type="dxa"/>
          </w:tcPr>
          <w:p w:rsidR="00D94D15" w:rsidRDefault="00D94D15">
            <w:pPr>
              <w:widowControl w:val="0"/>
              <w:tabs>
                <w:tab w:val="left" w:pos="6034"/>
              </w:tabs>
              <w:autoSpaceDE w:val="0"/>
              <w:autoSpaceDN w:val="0"/>
              <w:adjustRightInd w:val="0"/>
              <w:spacing w:before="120" w:after="120" w:line="237" w:lineRule="exact"/>
              <w:ind w:left="29" w:right="62"/>
              <w:jc w:val="center"/>
              <w:rPr>
                <w:rFonts w:cs="Arial"/>
                <w:szCs w:val="24"/>
              </w:rPr>
            </w:pPr>
            <w:r>
              <w:rPr>
                <w:rFonts w:cs="Arial"/>
                <w:spacing w:val="-19"/>
                <w:szCs w:val="24"/>
              </w:rPr>
              <w:t xml:space="preserve">12% </w:t>
            </w:r>
          </w:p>
        </w:tc>
      </w:tr>
    </w:tbl>
    <w:p w:rsidR="00806086" w:rsidRDefault="00806086">
      <w:pPr>
        <w:rPr>
          <w:rFonts w:cs="Arial"/>
          <w:szCs w:val="24"/>
        </w:rPr>
      </w:pPr>
    </w:p>
    <w:p w:rsidR="00806086" w:rsidRDefault="00806086">
      <w:pPr>
        <w:pStyle w:val="BidBodyText"/>
        <w:tabs>
          <w:tab w:val="clear" w:pos="567"/>
        </w:tabs>
        <w:ind w:left="0"/>
        <w:jc w:val="left"/>
        <w:rPr>
          <w:rFonts w:cs="Arial"/>
          <w:sz w:val="24"/>
          <w:szCs w:val="24"/>
        </w:rPr>
      </w:pPr>
      <w:r>
        <w:rPr>
          <w:rFonts w:cs="Arial"/>
          <w:sz w:val="24"/>
          <w:szCs w:val="24"/>
        </w:rPr>
        <w:t xml:space="preserve">Tiered contribution rates from </w:t>
      </w:r>
      <w:r w:rsidR="009401FB">
        <w:rPr>
          <w:rFonts w:cs="Arial"/>
          <w:sz w:val="24"/>
          <w:szCs w:val="24"/>
        </w:rPr>
        <w:t>T</w:t>
      </w:r>
      <w:r>
        <w:rPr>
          <w:rFonts w:cs="Arial"/>
          <w:sz w:val="24"/>
          <w:szCs w:val="24"/>
        </w:rPr>
        <w:t xml:space="preserve">able 1 are used to determine the member’s average contribution rate for the whole of the </w:t>
      </w:r>
      <w:r w:rsidR="008D02D0">
        <w:rPr>
          <w:rFonts w:cs="Arial"/>
          <w:sz w:val="24"/>
          <w:szCs w:val="24"/>
        </w:rPr>
        <w:t>scheme</w:t>
      </w:r>
      <w:r>
        <w:rPr>
          <w:rFonts w:cs="Arial"/>
          <w:sz w:val="24"/>
          <w:szCs w:val="24"/>
        </w:rPr>
        <w:t xml:space="preserve"> year in accordance with </w:t>
      </w:r>
      <w:r w:rsidR="009401FB">
        <w:rPr>
          <w:rFonts w:cs="Arial"/>
          <w:sz w:val="24"/>
          <w:szCs w:val="24"/>
        </w:rPr>
        <w:t>T</w:t>
      </w:r>
      <w:r>
        <w:rPr>
          <w:rFonts w:cs="Arial"/>
          <w:sz w:val="24"/>
          <w:szCs w:val="24"/>
        </w:rPr>
        <w:t xml:space="preserve">able 2 below.  This table is in effect a “lookup table” which breaks down the contribution rates from Table 1 into steps of 0.1% and allocates pay ranges to these steps to simplify the process of allocating contribution rates to members for payroll purposes. </w:t>
      </w:r>
      <w:r w:rsidR="008A508C">
        <w:rPr>
          <w:rFonts w:cs="Arial"/>
          <w:sz w:val="24"/>
          <w:szCs w:val="24"/>
        </w:rPr>
        <w:t>Table 2</w:t>
      </w:r>
      <w:r>
        <w:rPr>
          <w:rFonts w:cs="Arial"/>
          <w:sz w:val="24"/>
          <w:szCs w:val="24"/>
        </w:rPr>
        <w:t xml:space="preserve"> will be updated on an annual basis and included with </w:t>
      </w:r>
      <w:r w:rsidR="008A508C">
        <w:rPr>
          <w:rFonts w:cs="Arial"/>
          <w:sz w:val="24"/>
          <w:szCs w:val="24"/>
        </w:rPr>
        <w:t xml:space="preserve">an </w:t>
      </w:r>
      <w:r>
        <w:rPr>
          <w:rFonts w:cs="Arial"/>
          <w:sz w:val="24"/>
          <w:szCs w:val="24"/>
        </w:rPr>
        <w:t>updated Table 1 in</w:t>
      </w:r>
      <w:r w:rsidR="008A508C">
        <w:rPr>
          <w:rFonts w:cs="Arial"/>
          <w:sz w:val="24"/>
          <w:szCs w:val="24"/>
        </w:rPr>
        <w:t xml:space="preserve"> future versions of</w:t>
      </w:r>
      <w:r>
        <w:rPr>
          <w:rFonts w:cs="Arial"/>
          <w:sz w:val="24"/>
          <w:szCs w:val="24"/>
        </w:rPr>
        <w:t xml:space="preserve"> </w:t>
      </w:r>
      <w:r w:rsidR="008F6B3A">
        <w:rPr>
          <w:rFonts w:cs="Arial"/>
          <w:sz w:val="24"/>
          <w:szCs w:val="24"/>
        </w:rPr>
        <w:t xml:space="preserve">this </w:t>
      </w:r>
      <w:r>
        <w:rPr>
          <w:rFonts w:cs="Arial"/>
          <w:sz w:val="24"/>
          <w:szCs w:val="24"/>
        </w:rPr>
        <w:t>guidance</w:t>
      </w:r>
      <w:r w:rsidR="008F6B3A">
        <w:rPr>
          <w:rFonts w:cs="Arial"/>
          <w:sz w:val="24"/>
          <w:szCs w:val="24"/>
        </w:rPr>
        <w:t>.</w:t>
      </w:r>
      <w:r>
        <w:rPr>
          <w:rFonts w:cs="Arial"/>
          <w:sz w:val="24"/>
          <w:szCs w:val="24"/>
        </w:rPr>
        <w:t xml:space="preserve"> Where pay values exceed the </w:t>
      </w:r>
      <w:r w:rsidR="00A14D8D">
        <w:rPr>
          <w:rFonts w:cs="Arial"/>
          <w:sz w:val="24"/>
          <w:szCs w:val="24"/>
        </w:rPr>
        <w:t xml:space="preserve">maximum </w:t>
      </w:r>
      <w:r>
        <w:rPr>
          <w:rFonts w:cs="Arial"/>
          <w:sz w:val="24"/>
          <w:szCs w:val="24"/>
        </w:rPr>
        <w:t xml:space="preserve">included in </w:t>
      </w:r>
      <w:r w:rsidR="008A508C">
        <w:rPr>
          <w:rFonts w:cs="Arial"/>
          <w:sz w:val="24"/>
          <w:szCs w:val="24"/>
        </w:rPr>
        <w:t>Table 2</w:t>
      </w:r>
      <w:r>
        <w:rPr>
          <w:rFonts w:cs="Arial"/>
          <w:sz w:val="24"/>
          <w:szCs w:val="24"/>
        </w:rPr>
        <w:t>, the appropriate administering authority must be contacted for guidance.</w:t>
      </w:r>
    </w:p>
    <w:p w:rsidR="00760B73" w:rsidRDefault="00806086">
      <w:pPr>
        <w:pStyle w:val="BidBodyText"/>
        <w:tabs>
          <w:tab w:val="clear" w:pos="567"/>
        </w:tabs>
        <w:ind w:left="0"/>
        <w:jc w:val="left"/>
        <w:rPr>
          <w:rFonts w:cs="Arial"/>
          <w:b/>
          <w:sz w:val="24"/>
          <w:szCs w:val="24"/>
        </w:rPr>
      </w:pPr>
      <w:r>
        <w:rPr>
          <w:rFonts w:cs="Arial"/>
          <w:b/>
          <w:sz w:val="24"/>
          <w:szCs w:val="24"/>
          <w:u w:val="single"/>
        </w:rPr>
        <w:t>Note</w:t>
      </w:r>
      <w:r w:rsidR="00760B73">
        <w:rPr>
          <w:rFonts w:cs="Arial"/>
          <w:b/>
          <w:sz w:val="24"/>
          <w:szCs w:val="24"/>
          <w:u w:val="single"/>
        </w:rPr>
        <w:t>s</w:t>
      </w:r>
      <w:r>
        <w:rPr>
          <w:rFonts w:cs="Arial"/>
          <w:b/>
          <w:sz w:val="24"/>
          <w:szCs w:val="24"/>
          <w:u w:val="single"/>
        </w:rPr>
        <w:t>:</w:t>
      </w:r>
      <w:r>
        <w:rPr>
          <w:rFonts w:cs="Arial"/>
          <w:b/>
          <w:sz w:val="24"/>
          <w:szCs w:val="24"/>
        </w:rPr>
        <w:t xml:space="preserve">  </w:t>
      </w:r>
    </w:p>
    <w:p w:rsidR="00806086" w:rsidRDefault="00760B73">
      <w:pPr>
        <w:pStyle w:val="BidBodyText"/>
        <w:tabs>
          <w:tab w:val="clear" w:pos="567"/>
        </w:tabs>
        <w:ind w:left="0"/>
        <w:jc w:val="left"/>
        <w:rPr>
          <w:rFonts w:cs="Arial"/>
          <w:sz w:val="24"/>
          <w:szCs w:val="24"/>
        </w:rPr>
      </w:pPr>
      <w:r>
        <w:rPr>
          <w:rFonts w:cs="Arial"/>
          <w:b/>
          <w:sz w:val="24"/>
          <w:szCs w:val="24"/>
        </w:rPr>
        <w:t>1.</w:t>
      </w:r>
      <w:r w:rsidR="00806086">
        <w:rPr>
          <w:rFonts w:cs="Arial"/>
          <w:b/>
          <w:sz w:val="24"/>
          <w:szCs w:val="24"/>
        </w:rPr>
        <w:t xml:space="preserve"> </w:t>
      </w:r>
      <w:r w:rsidR="00806086">
        <w:rPr>
          <w:rFonts w:cs="Arial"/>
          <w:sz w:val="24"/>
          <w:szCs w:val="24"/>
        </w:rPr>
        <w:t>If your payroll is held as an hourly rate you may need to convert the pay values in this table to suit. In applying an average contribution rate for a member with “ad hoc” pensionable allowances</w:t>
      </w:r>
      <w:r w:rsidR="00A14D8D" w:rsidRPr="00A14D8D">
        <w:rPr>
          <w:rFonts w:cs="Arial"/>
          <w:sz w:val="24"/>
          <w:szCs w:val="24"/>
        </w:rPr>
        <w:t xml:space="preserve"> </w:t>
      </w:r>
      <w:r w:rsidR="00A14D8D">
        <w:rPr>
          <w:rFonts w:cs="Arial"/>
          <w:sz w:val="24"/>
          <w:szCs w:val="24"/>
        </w:rPr>
        <w:t>or variable hours</w:t>
      </w:r>
      <w:r w:rsidR="00806086">
        <w:rPr>
          <w:rFonts w:cs="Arial"/>
          <w:sz w:val="24"/>
          <w:szCs w:val="24"/>
        </w:rPr>
        <w:t xml:space="preserve">, please refer to paragraph 5(c) of the main part of this </w:t>
      </w:r>
      <w:r w:rsidR="00A71547">
        <w:rPr>
          <w:rFonts w:cs="Arial"/>
          <w:sz w:val="24"/>
          <w:szCs w:val="24"/>
        </w:rPr>
        <w:t xml:space="preserve">appendix </w:t>
      </w:r>
      <w:r w:rsidR="00806086">
        <w:rPr>
          <w:rFonts w:cs="Arial"/>
          <w:sz w:val="24"/>
          <w:szCs w:val="24"/>
        </w:rPr>
        <w:t>for guidance.</w:t>
      </w:r>
    </w:p>
    <w:p w:rsidR="00182C61" w:rsidRDefault="00760B73" w:rsidP="00256D3B">
      <w:pPr>
        <w:tabs>
          <w:tab w:val="clear" w:pos="720"/>
          <w:tab w:val="clear" w:pos="1440"/>
          <w:tab w:val="clear" w:pos="2160"/>
          <w:tab w:val="clear" w:pos="2880"/>
          <w:tab w:val="clear" w:pos="4680"/>
          <w:tab w:val="clear" w:pos="5400"/>
          <w:tab w:val="clear" w:pos="9000"/>
        </w:tabs>
        <w:rPr>
          <w:rFonts w:cs="Arial"/>
          <w:szCs w:val="24"/>
        </w:rPr>
      </w:pPr>
      <w:r>
        <w:rPr>
          <w:rFonts w:cs="Arial"/>
          <w:szCs w:val="24"/>
        </w:rPr>
        <w:t>2</w:t>
      </w:r>
      <w:r w:rsidR="00010458">
        <w:rPr>
          <w:rFonts w:cs="Arial"/>
          <w:szCs w:val="24"/>
        </w:rPr>
        <w:t>. For members i</w:t>
      </w:r>
      <w:r>
        <w:rPr>
          <w:rFonts w:cs="Arial"/>
          <w:szCs w:val="24"/>
        </w:rPr>
        <w:t xml:space="preserve">n </w:t>
      </w:r>
      <w:r w:rsidR="00010458">
        <w:rPr>
          <w:rFonts w:cs="Arial"/>
          <w:szCs w:val="24"/>
        </w:rPr>
        <w:t xml:space="preserve">the </w:t>
      </w:r>
      <w:r>
        <w:rPr>
          <w:rFonts w:cs="Arial"/>
          <w:szCs w:val="24"/>
        </w:rPr>
        <w:t xml:space="preserve">50/50 </w:t>
      </w:r>
      <w:r w:rsidR="00010458">
        <w:rPr>
          <w:rFonts w:cs="Arial"/>
          <w:szCs w:val="24"/>
        </w:rPr>
        <w:t>section</w:t>
      </w:r>
      <w:r>
        <w:rPr>
          <w:rFonts w:cs="Arial"/>
          <w:szCs w:val="24"/>
        </w:rPr>
        <w:t xml:space="preserve"> the rates shown above </w:t>
      </w:r>
      <w:r w:rsidR="00BF0ED6">
        <w:rPr>
          <w:rFonts w:cs="Arial"/>
          <w:szCs w:val="24"/>
        </w:rPr>
        <w:t>may be divided by 2 (but see Table 2 for average rates to be used)</w:t>
      </w:r>
      <w:r w:rsidR="00256D3B">
        <w:rPr>
          <w:rFonts w:cs="Arial"/>
          <w:szCs w:val="24"/>
        </w:rPr>
        <w:t>.</w:t>
      </w:r>
    </w:p>
    <w:p w:rsidR="00182C61" w:rsidRDefault="00182C61" w:rsidP="00256D3B">
      <w:pPr>
        <w:tabs>
          <w:tab w:val="clear" w:pos="720"/>
          <w:tab w:val="clear" w:pos="1440"/>
          <w:tab w:val="clear" w:pos="2160"/>
          <w:tab w:val="clear" w:pos="2880"/>
          <w:tab w:val="clear" w:pos="4680"/>
          <w:tab w:val="clear" w:pos="5400"/>
          <w:tab w:val="clear" w:pos="9000"/>
        </w:tabs>
        <w:rPr>
          <w:rFonts w:cs="Arial"/>
          <w:szCs w:val="24"/>
        </w:rPr>
      </w:pPr>
    </w:p>
    <w:p w:rsidR="00182C61" w:rsidRDefault="00182C61">
      <w:pPr>
        <w:tabs>
          <w:tab w:val="clear" w:pos="720"/>
          <w:tab w:val="clear" w:pos="1440"/>
          <w:tab w:val="clear" w:pos="2160"/>
          <w:tab w:val="clear" w:pos="2880"/>
          <w:tab w:val="clear" w:pos="4680"/>
          <w:tab w:val="clear" w:pos="5400"/>
          <w:tab w:val="clear" w:pos="9000"/>
        </w:tabs>
        <w:rPr>
          <w:rFonts w:cs="Arial"/>
          <w:b/>
          <w:szCs w:val="24"/>
        </w:rPr>
      </w:pPr>
      <w:r>
        <w:rPr>
          <w:rFonts w:cs="Arial"/>
          <w:b/>
          <w:szCs w:val="24"/>
        </w:rPr>
        <w:br w:type="page"/>
      </w:r>
    </w:p>
    <w:p w:rsidR="00806086" w:rsidRDefault="00806086" w:rsidP="00214B8A">
      <w:pPr>
        <w:tabs>
          <w:tab w:val="clear" w:pos="720"/>
          <w:tab w:val="clear" w:pos="1440"/>
          <w:tab w:val="clear" w:pos="2160"/>
          <w:tab w:val="clear" w:pos="2880"/>
          <w:tab w:val="clear" w:pos="4680"/>
          <w:tab w:val="clear" w:pos="5400"/>
          <w:tab w:val="clear" w:pos="9000"/>
        </w:tabs>
        <w:rPr>
          <w:rFonts w:cs="Arial"/>
          <w:b/>
          <w:szCs w:val="24"/>
        </w:rPr>
      </w:pPr>
      <w:r>
        <w:rPr>
          <w:rFonts w:cs="Arial"/>
          <w:b/>
          <w:szCs w:val="24"/>
        </w:rPr>
        <w:lastRenderedPageBreak/>
        <w:t>Table 2</w:t>
      </w:r>
      <w:r w:rsidR="00B279A8">
        <w:rPr>
          <w:rFonts w:cs="Arial"/>
          <w:b/>
          <w:szCs w:val="24"/>
        </w:rPr>
        <w:t xml:space="preserve"> – Look </w:t>
      </w:r>
      <w:r w:rsidR="00A7449E">
        <w:rPr>
          <w:rFonts w:cs="Arial"/>
          <w:b/>
          <w:szCs w:val="24"/>
        </w:rPr>
        <w:t>up</w:t>
      </w:r>
      <w:r w:rsidR="00B279A8">
        <w:rPr>
          <w:rFonts w:cs="Arial"/>
          <w:b/>
          <w:szCs w:val="24"/>
        </w:rPr>
        <w:t xml:space="preserve"> Table for </w:t>
      </w:r>
      <w:r w:rsidR="00196049">
        <w:rPr>
          <w:rFonts w:cs="Arial"/>
          <w:b/>
          <w:szCs w:val="24"/>
        </w:rPr>
        <w:t>201</w:t>
      </w:r>
      <w:r w:rsidR="00661B87">
        <w:rPr>
          <w:rFonts w:cs="Arial"/>
          <w:b/>
          <w:szCs w:val="24"/>
        </w:rPr>
        <w:t>7</w:t>
      </w:r>
      <w:r w:rsidR="00B279A8">
        <w:rPr>
          <w:rFonts w:cs="Arial"/>
          <w:b/>
          <w:szCs w:val="24"/>
        </w:rPr>
        <w:t>/</w:t>
      </w:r>
      <w:r w:rsidR="00196049">
        <w:rPr>
          <w:rFonts w:cs="Arial"/>
          <w:b/>
          <w:szCs w:val="24"/>
        </w:rPr>
        <w:t>201</w:t>
      </w:r>
      <w:r w:rsidR="00661B87">
        <w:rPr>
          <w:rFonts w:cs="Arial"/>
          <w:b/>
          <w:szCs w:val="24"/>
        </w:rPr>
        <w:t>8</w:t>
      </w:r>
    </w:p>
    <w:p w:rsidR="00760B73" w:rsidRPr="00214B8A" w:rsidRDefault="00760B73">
      <w:pPr>
        <w:pStyle w:val="BidBodyText"/>
        <w:tabs>
          <w:tab w:val="clear" w:pos="567"/>
        </w:tabs>
        <w:ind w:left="0"/>
        <w:jc w:val="left"/>
        <w:rPr>
          <w:rFonts w:cs="Arial"/>
          <w:b/>
          <w:i/>
          <w:sz w:val="24"/>
          <w:szCs w:val="24"/>
        </w:rPr>
      </w:pPr>
      <w:r w:rsidRPr="00214B8A">
        <w:rPr>
          <w:rFonts w:cs="Arial"/>
          <w:b/>
          <w:i/>
          <w:sz w:val="24"/>
          <w:szCs w:val="24"/>
        </w:rPr>
        <w:t xml:space="preserve">[For members </w:t>
      </w:r>
      <w:r w:rsidR="00010458">
        <w:rPr>
          <w:rFonts w:cs="Arial"/>
          <w:b/>
          <w:i/>
          <w:sz w:val="24"/>
          <w:szCs w:val="24"/>
        </w:rPr>
        <w:t xml:space="preserve">in the 50/50 section </w:t>
      </w:r>
      <w:r w:rsidRPr="00214B8A">
        <w:rPr>
          <w:rFonts w:cs="Arial"/>
          <w:b/>
          <w:i/>
          <w:sz w:val="24"/>
          <w:szCs w:val="24"/>
        </w:rPr>
        <w:t>divide the appropriate rate by 2]</w:t>
      </w:r>
    </w:p>
    <w:tbl>
      <w:tblPr>
        <w:tblW w:w="9733" w:type="dxa"/>
        <w:tblInd w:w="-3" w:type="dxa"/>
        <w:tblLayout w:type="fixed"/>
        <w:tblCellMar>
          <w:left w:w="0" w:type="dxa"/>
          <w:right w:w="0" w:type="dxa"/>
        </w:tblCellMar>
        <w:tblLook w:val="0000" w:firstRow="0" w:lastRow="0" w:firstColumn="0" w:lastColumn="0" w:noHBand="0" w:noVBand="0"/>
      </w:tblPr>
      <w:tblGrid>
        <w:gridCol w:w="1622"/>
        <w:gridCol w:w="1622"/>
        <w:gridCol w:w="1622"/>
        <w:gridCol w:w="1622"/>
        <w:gridCol w:w="1622"/>
        <w:gridCol w:w="1623"/>
      </w:tblGrid>
      <w:tr w:rsidR="008D57B5" w:rsidTr="003253D5">
        <w:trPr>
          <w:trHeight w:val="285"/>
          <w:tblHeader/>
        </w:trPr>
        <w:tc>
          <w:tcPr>
            <w:tcW w:w="1622" w:type="dxa"/>
            <w:tcBorders>
              <w:top w:val="single" w:sz="8" w:space="0" w:color="auto"/>
              <w:left w:val="single" w:sz="8" w:space="0" w:color="auto"/>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Contribution rate</w:t>
            </w:r>
          </w:p>
        </w:tc>
        <w:tc>
          <w:tcPr>
            <w:tcW w:w="1622" w:type="dxa"/>
            <w:tcBorders>
              <w:top w:val="single" w:sz="8" w:space="0" w:color="auto"/>
              <w:left w:val="nil"/>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Actual Pay Min</w:t>
            </w:r>
          </w:p>
        </w:tc>
        <w:tc>
          <w:tcPr>
            <w:tcW w:w="1622" w:type="dxa"/>
            <w:tcBorders>
              <w:top w:val="single" w:sz="8" w:space="0" w:color="auto"/>
              <w:left w:val="nil"/>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Actual Pay Max</w:t>
            </w:r>
          </w:p>
        </w:tc>
        <w:tc>
          <w:tcPr>
            <w:tcW w:w="1622" w:type="dxa"/>
            <w:tcBorders>
              <w:top w:val="single" w:sz="8" w:space="0" w:color="auto"/>
              <w:left w:val="nil"/>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Contribution rate</w:t>
            </w:r>
          </w:p>
        </w:tc>
        <w:tc>
          <w:tcPr>
            <w:tcW w:w="1622" w:type="dxa"/>
            <w:tcBorders>
              <w:top w:val="single" w:sz="8" w:space="0" w:color="auto"/>
              <w:left w:val="nil"/>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Actual Pay Min</w:t>
            </w:r>
          </w:p>
        </w:tc>
        <w:tc>
          <w:tcPr>
            <w:tcW w:w="1623" w:type="dxa"/>
            <w:tcBorders>
              <w:top w:val="single" w:sz="8" w:space="0" w:color="auto"/>
              <w:left w:val="nil"/>
              <w:bottom w:val="single" w:sz="8" w:space="0" w:color="auto"/>
              <w:right w:val="single" w:sz="8" w:space="0" w:color="auto"/>
            </w:tcBorders>
            <w:shd w:val="clear" w:color="auto" w:fill="FFFFFF"/>
            <w:vAlign w:val="center"/>
          </w:tcPr>
          <w:p w:rsidR="008D57B5" w:rsidRDefault="008D57B5" w:rsidP="003253D5">
            <w:pPr>
              <w:jc w:val="center"/>
              <w:rPr>
                <w:rFonts w:eastAsia="Arial Unicode MS" w:cs="Arial"/>
                <w:b/>
                <w:color w:val="000000"/>
                <w:szCs w:val="24"/>
              </w:rPr>
            </w:pPr>
            <w:r>
              <w:rPr>
                <w:rFonts w:cs="Arial"/>
                <w:b/>
                <w:color w:val="000000"/>
                <w:szCs w:val="24"/>
              </w:rPr>
              <w:t>Actual Pay Max</w:t>
            </w:r>
          </w:p>
        </w:tc>
      </w:tr>
      <w:tr w:rsidR="00D94D15" w:rsidRPr="00D61CA3" w:rsidTr="002E4759">
        <w:trPr>
          <w:trHeight w:val="270"/>
        </w:trPr>
        <w:tc>
          <w:tcPr>
            <w:tcW w:w="1622" w:type="dxa"/>
            <w:tcBorders>
              <w:top w:val="nil"/>
              <w:left w:val="single" w:sz="8" w:space="0" w:color="auto"/>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Contribution rate</w:t>
            </w:r>
          </w:p>
        </w:tc>
        <w:tc>
          <w:tcPr>
            <w:tcW w:w="1622" w:type="dxa"/>
            <w:tcBorders>
              <w:top w:val="nil"/>
              <w:left w:val="nil"/>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Actual Pay Min</w:t>
            </w:r>
          </w:p>
        </w:tc>
        <w:tc>
          <w:tcPr>
            <w:tcW w:w="1622" w:type="dxa"/>
            <w:tcBorders>
              <w:top w:val="nil"/>
              <w:left w:val="nil"/>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Actual Pay Max</w:t>
            </w:r>
          </w:p>
        </w:tc>
        <w:tc>
          <w:tcPr>
            <w:tcW w:w="1622" w:type="dxa"/>
            <w:tcBorders>
              <w:top w:val="nil"/>
              <w:left w:val="nil"/>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Contribution rate</w:t>
            </w:r>
          </w:p>
        </w:tc>
        <w:tc>
          <w:tcPr>
            <w:tcW w:w="1622" w:type="dxa"/>
            <w:tcBorders>
              <w:top w:val="nil"/>
              <w:left w:val="nil"/>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Actual Pay Min</w:t>
            </w:r>
          </w:p>
        </w:tc>
        <w:tc>
          <w:tcPr>
            <w:tcW w:w="1623" w:type="dxa"/>
            <w:tcBorders>
              <w:top w:val="nil"/>
              <w:left w:val="nil"/>
              <w:bottom w:val="single" w:sz="8" w:space="0" w:color="auto"/>
              <w:right w:val="single" w:sz="8" w:space="0" w:color="auto"/>
            </w:tcBorders>
            <w:shd w:val="clear" w:color="auto" w:fill="FFFFFF"/>
            <w:vAlign w:val="center"/>
          </w:tcPr>
          <w:p w:rsidR="00D94D15" w:rsidRDefault="00D94D15" w:rsidP="0080391E">
            <w:pPr>
              <w:jc w:val="center"/>
              <w:rPr>
                <w:rFonts w:eastAsia="Arial Unicode MS" w:cs="Arial"/>
                <w:b/>
                <w:color w:val="000000"/>
                <w:szCs w:val="24"/>
              </w:rPr>
            </w:pPr>
            <w:r>
              <w:rPr>
                <w:rFonts w:cs="Arial"/>
                <w:b/>
                <w:color w:val="000000"/>
                <w:szCs w:val="24"/>
              </w:rPr>
              <w:t>Actual Pay Max</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5.5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Up to</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21,308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59,809</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61,492</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5.6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21,309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22,640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61,493</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63,275</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5.7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22,641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24,150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63,276</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65,164</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5.8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24,151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25,603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65,165</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67,169</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5.9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25,604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26,607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67,170</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69,301</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26,608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27,693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69,302</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71,573</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27,694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28,872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71,574</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74,000</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28,873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30,155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74,001</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76,596</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30,156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31,558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76,597</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79,381</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31,559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33,097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79,382</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82,377</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33,098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34,762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82,378</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85,607</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34,763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35,982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85,608</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89,102</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35,983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37,290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89,103</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92,893</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37,291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38,698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92,894</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97,022</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6.9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38,699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40,215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97,023</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101,534</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40,216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41,857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9.9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101,535</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106,487</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41,858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43,638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106,488</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111,948</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43,639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45,577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111,949</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118,000</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45,578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46,946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118,001</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124,742</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46,947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47,978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124,743</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132,303</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47,979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49,056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132,304</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140,838</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49,057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50,183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140,839</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150,551</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50,184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51,364</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10.6</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150,552</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161,703</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51,365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52,602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10.7</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161,704</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174,640</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7.9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52,603</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53,901</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10.8</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174,641</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189,826</w:t>
            </w:r>
          </w:p>
        </w:tc>
      </w:tr>
      <w:tr w:rsidR="00D94D15" w:rsidRPr="00D61CA3" w:rsidTr="003253D5">
        <w:trPr>
          <w:trHeight w:val="270"/>
        </w:trPr>
        <w:tc>
          <w:tcPr>
            <w:tcW w:w="1622" w:type="dxa"/>
            <w:tcBorders>
              <w:top w:val="nil"/>
              <w:left w:val="single" w:sz="8" w:space="0" w:color="auto"/>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8.0</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53,902</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55,265</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10.9</w:t>
            </w:r>
          </w:p>
        </w:tc>
        <w:tc>
          <w:tcPr>
            <w:tcW w:w="1622"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189,827</w:t>
            </w:r>
          </w:p>
        </w:tc>
        <w:tc>
          <w:tcPr>
            <w:tcW w:w="1623" w:type="dxa"/>
            <w:tcBorders>
              <w:top w:val="nil"/>
              <w:left w:val="nil"/>
              <w:bottom w:val="single" w:sz="8"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207,904</w:t>
            </w:r>
          </w:p>
        </w:tc>
      </w:tr>
      <w:tr w:rsidR="00D94D15" w:rsidRPr="00D61CA3" w:rsidTr="003253D5">
        <w:trPr>
          <w:trHeight w:val="270"/>
        </w:trPr>
        <w:tc>
          <w:tcPr>
            <w:tcW w:w="1622" w:type="dxa"/>
            <w:tcBorders>
              <w:top w:val="single" w:sz="8" w:space="0" w:color="auto"/>
              <w:left w:val="single" w:sz="8" w:space="0" w:color="auto"/>
              <w:bottom w:val="single" w:sz="4" w:space="0" w:color="auto"/>
              <w:right w:val="single" w:sz="4"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8.1</w:t>
            </w:r>
          </w:p>
        </w:tc>
        <w:tc>
          <w:tcPr>
            <w:tcW w:w="1622" w:type="dxa"/>
            <w:tcBorders>
              <w:top w:val="single" w:sz="8" w:space="0" w:color="auto"/>
              <w:left w:val="single" w:sz="4" w:space="0" w:color="auto"/>
              <w:bottom w:val="single" w:sz="4" w:space="0" w:color="auto"/>
              <w:right w:val="single" w:sz="4"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55,266</w:t>
            </w:r>
          </w:p>
        </w:tc>
        <w:tc>
          <w:tcPr>
            <w:tcW w:w="1622" w:type="dxa"/>
            <w:tcBorders>
              <w:top w:val="single" w:sz="8" w:space="0" w:color="auto"/>
              <w:left w:val="single" w:sz="4" w:space="0" w:color="auto"/>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56,701</w:t>
            </w:r>
          </w:p>
        </w:tc>
        <w:tc>
          <w:tcPr>
            <w:tcW w:w="1622" w:type="dxa"/>
            <w:tcBorders>
              <w:top w:val="nil"/>
              <w:left w:val="nil"/>
              <w:bottom w:val="single" w:sz="4" w:space="0" w:color="auto"/>
              <w:right w:val="single" w:sz="8" w:space="0" w:color="auto"/>
            </w:tcBorders>
            <w:shd w:val="clear" w:color="auto" w:fill="FFFFFF"/>
            <w:vAlign w:val="bottom"/>
          </w:tcPr>
          <w:p w:rsidR="00D94D15" w:rsidRPr="00E72919" w:rsidRDefault="00D94D15" w:rsidP="0080391E">
            <w:pPr>
              <w:jc w:val="center"/>
              <w:rPr>
                <w:rFonts w:eastAsia="Arial Unicode MS" w:cs="Arial"/>
                <w:b/>
                <w:szCs w:val="24"/>
              </w:rPr>
            </w:pPr>
            <w:r w:rsidRPr="00E72919">
              <w:rPr>
                <w:rFonts w:eastAsia="Arial Unicode MS" w:cs="Arial"/>
                <w:b/>
                <w:szCs w:val="24"/>
              </w:rPr>
              <w:t>1</w:t>
            </w:r>
            <w:r>
              <w:rPr>
                <w:rFonts w:eastAsia="Arial Unicode MS" w:cs="Arial"/>
                <w:b/>
                <w:szCs w:val="24"/>
              </w:rPr>
              <w:t>1.0</w:t>
            </w:r>
          </w:p>
        </w:tc>
        <w:tc>
          <w:tcPr>
            <w:tcW w:w="1622"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207,905</w:t>
            </w:r>
          </w:p>
        </w:tc>
        <w:tc>
          <w:tcPr>
            <w:tcW w:w="1623"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229,789</w:t>
            </w:r>
          </w:p>
        </w:tc>
      </w:tr>
      <w:tr w:rsidR="00D94D15" w:rsidRPr="00D61CA3" w:rsidTr="003253D5">
        <w:trPr>
          <w:trHeight w:val="270"/>
        </w:trPr>
        <w:tc>
          <w:tcPr>
            <w:tcW w:w="1622" w:type="dxa"/>
            <w:tcBorders>
              <w:top w:val="single" w:sz="8" w:space="0" w:color="auto"/>
              <w:left w:val="single" w:sz="8" w:space="0" w:color="auto"/>
              <w:bottom w:val="single" w:sz="4" w:space="0" w:color="auto"/>
              <w:right w:val="single" w:sz="4" w:space="0" w:color="auto"/>
            </w:tcBorders>
            <w:shd w:val="clear" w:color="auto" w:fill="FFFFFF"/>
            <w:vAlign w:val="bottom"/>
          </w:tcPr>
          <w:p w:rsidR="00D94D15" w:rsidRDefault="00D94D15" w:rsidP="0080391E">
            <w:pPr>
              <w:jc w:val="center"/>
              <w:rPr>
                <w:rFonts w:eastAsia="Arial Unicode MS" w:cs="Arial"/>
                <w:b/>
                <w:color w:val="000000"/>
                <w:szCs w:val="24"/>
              </w:rPr>
            </w:pPr>
            <w:r>
              <w:rPr>
                <w:rFonts w:cs="Arial"/>
                <w:b/>
                <w:color w:val="000000"/>
                <w:szCs w:val="24"/>
              </w:rPr>
              <w:t>8.2</w:t>
            </w:r>
          </w:p>
        </w:tc>
        <w:tc>
          <w:tcPr>
            <w:tcW w:w="1622" w:type="dxa"/>
            <w:tcBorders>
              <w:top w:val="single" w:sz="8" w:space="0" w:color="auto"/>
              <w:left w:val="single" w:sz="4" w:space="0" w:color="auto"/>
              <w:bottom w:val="single" w:sz="4" w:space="0" w:color="auto"/>
              <w:right w:val="single" w:sz="4"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56,702</w:t>
            </w:r>
          </w:p>
        </w:tc>
        <w:tc>
          <w:tcPr>
            <w:tcW w:w="1622" w:type="dxa"/>
            <w:tcBorders>
              <w:top w:val="single" w:sz="8" w:space="0" w:color="auto"/>
              <w:left w:val="single" w:sz="4" w:space="0" w:color="auto"/>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58,213</w:t>
            </w:r>
          </w:p>
        </w:tc>
        <w:tc>
          <w:tcPr>
            <w:tcW w:w="1622" w:type="dxa"/>
            <w:tcBorders>
              <w:top w:val="nil"/>
              <w:left w:val="nil"/>
              <w:bottom w:val="single" w:sz="4" w:space="0" w:color="auto"/>
              <w:right w:val="single" w:sz="8" w:space="0" w:color="auto"/>
            </w:tcBorders>
            <w:shd w:val="clear" w:color="auto" w:fill="FFFFFF"/>
            <w:vAlign w:val="bottom"/>
          </w:tcPr>
          <w:p w:rsidR="00D94D15" w:rsidRPr="00E72919" w:rsidRDefault="00D94D15" w:rsidP="0080391E">
            <w:pPr>
              <w:jc w:val="center"/>
              <w:rPr>
                <w:rFonts w:eastAsia="Arial Unicode MS" w:cs="Arial"/>
                <w:b/>
                <w:szCs w:val="24"/>
              </w:rPr>
            </w:pPr>
            <w:r w:rsidRPr="00E72919">
              <w:rPr>
                <w:rFonts w:eastAsia="Arial Unicode MS" w:cs="Arial"/>
                <w:b/>
                <w:szCs w:val="24"/>
              </w:rPr>
              <w:t>11.</w:t>
            </w:r>
            <w:r>
              <w:rPr>
                <w:rFonts w:eastAsia="Arial Unicode MS" w:cs="Arial"/>
                <w:b/>
                <w:szCs w:val="24"/>
              </w:rPr>
              <w:t>1</w:t>
            </w:r>
          </w:p>
        </w:tc>
        <w:tc>
          <w:tcPr>
            <w:tcW w:w="1622"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229,790</w:t>
            </w:r>
          </w:p>
        </w:tc>
        <w:tc>
          <w:tcPr>
            <w:tcW w:w="1623"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256,823</w:t>
            </w:r>
          </w:p>
        </w:tc>
      </w:tr>
      <w:tr w:rsidR="00D94D15" w:rsidRPr="00D61CA3" w:rsidTr="003253D5">
        <w:trPr>
          <w:trHeight w:val="270"/>
        </w:trPr>
        <w:tc>
          <w:tcPr>
            <w:tcW w:w="1622" w:type="dxa"/>
            <w:tcBorders>
              <w:top w:val="single" w:sz="8" w:space="0" w:color="auto"/>
              <w:left w:val="single" w:sz="8" w:space="0" w:color="auto"/>
              <w:bottom w:val="single" w:sz="4" w:space="0" w:color="auto"/>
              <w:right w:val="single" w:sz="4" w:space="0" w:color="auto"/>
            </w:tcBorders>
            <w:shd w:val="clear" w:color="auto" w:fill="FFFFFF"/>
            <w:vAlign w:val="bottom"/>
          </w:tcPr>
          <w:p w:rsidR="00D94D15" w:rsidRDefault="00D94D15" w:rsidP="0080391E">
            <w:pPr>
              <w:jc w:val="center"/>
              <w:rPr>
                <w:rFonts w:cs="Arial"/>
                <w:b/>
                <w:color w:val="000000"/>
                <w:szCs w:val="24"/>
              </w:rPr>
            </w:pPr>
            <w:r>
              <w:rPr>
                <w:rFonts w:cs="Arial"/>
                <w:b/>
                <w:color w:val="000000"/>
                <w:szCs w:val="24"/>
              </w:rPr>
              <w:t>8.3</w:t>
            </w:r>
          </w:p>
        </w:tc>
        <w:tc>
          <w:tcPr>
            <w:tcW w:w="1622" w:type="dxa"/>
            <w:tcBorders>
              <w:top w:val="single" w:sz="8" w:space="0" w:color="auto"/>
              <w:left w:val="single" w:sz="4" w:space="0" w:color="auto"/>
              <w:bottom w:val="single" w:sz="4" w:space="0" w:color="auto"/>
              <w:right w:val="single" w:sz="4"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58,214</w:t>
            </w:r>
          </w:p>
        </w:tc>
        <w:tc>
          <w:tcPr>
            <w:tcW w:w="1622" w:type="dxa"/>
            <w:tcBorders>
              <w:top w:val="single" w:sz="8" w:space="0" w:color="auto"/>
              <w:left w:val="single" w:sz="4" w:space="0" w:color="auto"/>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59,808</w:t>
            </w:r>
          </w:p>
        </w:tc>
        <w:tc>
          <w:tcPr>
            <w:tcW w:w="1622" w:type="dxa"/>
            <w:tcBorders>
              <w:top w:val="nil"/>
              <w:left w:val="nil"/>
              <w:bottom w:val="single" w:sz="4" w:space="0" w:color="auto"/>
              <w:right w:val="single" w:sz="8" w:space="0" w:color="auto"/>
            </w:tcBorders>
            <w:shd w:val="clear" w:color="auto" w:fill="FFFFFF"/>
            <w:vAlign w:val="bottom"/>
          </w:tcPr>
          <w:p w:rsidR="00D94D15" w:rsidRPr="00E72919" w:rsidRDefault="00D94D15" w:rsidP="0080391E">
            <w:pPr>
              <w:jc w:val="center"/>
              <w:rPr>
                <w:rFonts w:eastAsia="Arial Unicode MS" w:cs="Arial"/>
                <w:b/>
                <w:szCs w:val="24"/>
              </w:rPr>
            </w:pPr>
            <w:r>
              <w:rPr>
                <w:rFonts w:eastAsia="Arial Unicode MS" w:cs="Arial"/>
                <w:b/>
                <w:szCs w:val="24"/>
              </w:rPr>
              <w:t>11.2</w:t>
            </w:r>
          </w:p>
        </w:tc>
        <w:tc>
          <w:tcPr>
            <w:tcW w:w="1622"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256,824</w:t>
            </w:r>
          </w:p>
        </w:tc>
        <w:tc>
          <w:tcPr>
            <w:tcW w:w="1623" w:type="dxa"/>
            <w:tcBorders>
              <w:top w:val="nil"/>
              <w:left w:val="nil"/>
              <w:bottom w:val="single" w:sz="4" w:space="0" w:color="auto"/>
              <w:right w:val="single" w:sz="8" w:space="0" w:color="auto"/>
            </w:tcBorders>
            <w:shd w:val="clear" w:color="auto" w:fill="FFFFFF"/>
            <w:vAlign w:val="bottom"/>
          </w:tcPr>
          <w:p w:rsidR="00D94D15" w:rsidRDefault="00D94D15" w:rsidP="0080391E">
            <w:pPr>
              <w:jc w:val="center"/>
              <w:rPr>
                <w:rFonts w:cs="Arial"/>
                <w:color w:val="000000"/>
                <w:sz w:val="20"/>
              </w:rPr>
            </w:pPr>
            <w:r>
              <w:rPr>
                <w:rFonts w:cs="Arial"/>
                <w:color w:val="000000"/>
                <w:sz w:val="20"/>
              </w:rPr>
              <w:t>and above*</w:t>
            </w:r>
          </w:p>
        </w:tc>
      </w:tr>
    </w:tbl>
    <w:p w:rsidR="00E72919" w:rsidRDefault="00E72919">
      <w:pPr>
        <w:pStyle w:val="BidBodyText"/>
        <w:tabs>
          <w:tab w:val="clear" w:pos="567"/>
          <w:tab w:val="num" w:pos="0"/>
        </w:tabs>
        <w:ind w:left="0"/>
        <w:jc w:val="left"/>
        <w:rPr>
          <w:rFonts w:cs="Arial"/>
          <w:sz w:val="24"/>
          <w:szCs w:val="24"/>
        </w:rPr>
      </w:pPr>
    </w:p>
    <w:p w:rsidR="002127D9" w:rsidRDefault="002127D9">
      <w:pPr>
        <w:pStyle w:val="BidBodyText"/>
        <w:tabs>
          <w:tab w:val="clear" w:pos="567"/>
          <w:tab w:val="num" w:pos="0"/>
        </w:tabs>
        <w:ind w:left="0"/>
        <w:jc w:val="left"/>
        <w:rPr>
          <w:rFonts w:cs="Arial"/>
          <w:sz w:val="24"/>
          <w:szCs w:val="24"/>
        </w:rPr>
      </w:pPr>
    </w:p>
    <w:sectPr w:rsidR="002127D9">
      <w:footerReference w:type="first" r:id="rId15"/>
      <w:pgSz w:w="11906" w:h="16838" w:code="9"/>
      <w:pgMar w:top="964" w:right="1134" w:bottom="1259"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D5" w:rsidRDefault="003253D5">
      <w:r>
        <w:separator/>
      </w:r>
    </w:p>
  </w:endnote>
  <w:endnote w:type="continuationSeparator" w:id="0">
    <w:p w:rsidR="003253D5" w:rsidRDefault="0032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53D5" w:rsidRDefault="00325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E0D1F">
      <w:rPr>
        <w:rStyle w:val="PageNumber"/>
        <w:noProof/>
      </w:rPr>
      <w:t>2</w:t>
    </w:r>
    <w:r>
      <w:rPr>
        <w:rStyle w:val="PageNumber"/>
      </w:rPr>
      <w:fldChar w:fldCharType="end"/>
    </w:r>
  </w:p>
  <w:p w:rsidR="003253D5" w:rsidRDefault="003253D5">
    <w:pPr>
      <w:pStyle w:val="Footer"/>
      <w:framePr w:wrap="around" w:vAnchor="text" w:hAnchor="margin" w:xAlign="center" w:y="1"/>
      <w:ind w:right="360"/>
      <w:rPr>
        <w:rStyle w:val="PageNumber"/>
      </w:rPr>
    </w:pPr>
  </w:p>
  <w:p w:rsidR="003253D5" w:rsidRDefault="003253D5">
    <w:pPr>
      <w:pStyle w:val="Footer"/>
      <w:ind w:right="36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0D1F">
      <w:rPr>
        <w:rStyle w:val="PageNumber"/>
        <w:noProof/>
      </w:rPr>
      <w:t>1</w:t>
    </w:r>
    <w:r>
      <w:rPr>
        <w:rStyle w:val="PageNumber"/>
      </w:rPr>
      <w:fldChar w:fldCharType="end"/>
    </w:r>
  </w:p>
  <w:p w:rsidR="003253D5" w:rsidRDefault="003253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E0D1F">
      <w:rPr>
        <w:rStyle w:val="PageNumber"/>
        <w:noProof/>
      </w:rPr>
      <w:t>1</w:t>
    </w:r>
    <w:r>
      <w:rPr>
        <w:rStyle w:val="PageNumber"/>
      </w:rPr>
      <w:fldChar w:fldCharType="end"/>
    </w:r>
  </w:p>
  <w:p w:rsidR="003253D5" w:rsidRDefault="003253D5">
    <w:pPr>
      <w:pStyle w:val="Footer"/>
      <w:framePr w:wrap="around" w:vAnchor="text" w:hAnchor="margin" w:xAlign="right" w:y="1"/>
      <w:ind w:right="360"/>
      <w:rPr>
        <w:rStyle w:val="PageNumber"/>
      </w:rPr>
    </w:pPr>
  </w:p>
  <w:p w:rsidR="003253D5" w:rsidRDefault="003253D5">
    <w:pPr>
      <w:pStyle w:val="Footer"/>
      <w:ind w:right="36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D5" w:rsidRDefault="003253D5">
      <w:r>
        <w:separator/>
      </w:r>
    </w:p>
  </w:footnote>
  <w:footnote w:type="continuationSeparator" w:id="0">
    <w:p w:rsidR="003253D5" w:rsidRDefault="003253D5">
      <w:r>
        <w:continuationSeparator/>
      </w:r>
    </w:p>
  </w:footnote>
  <w:footnote w:id="1">
    <w:p w:rsidR="003253D5" w:rsidRDefault="003253D5">
      <w:pPr>
        <w:pStyle w:val="FootnoteText"/>
      </w:pPr>
      <w:r>
        <w:rPr>
          <w:rStyle w:val="FootnoteReference"/>
        </w:rPr>
        <w:footnoteRef/>
      </w:r>
      <w:r>
        <w:t xml:space="preserve"> The employer may use their preferred multiplier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rPr>
        <w:rFonts w:cs="Arial"/>
      </w:rPr>
    </w:pPr>
    <w:r>
      <w:rPr>
        <w:rFonts w:cs="Arial"/>
        <w:noProof/>
      </w:rPr>
      <w:drawing>
        <wp:inline distT="0" distB="0" distL="0" distR="0" wp14:anchorId="607985AD" wp14:editId="310A3416">
          <wp:extent cx="57226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495300"/>
                  </a:xfrm>
                  <a:prstGeom prst="rect">
                    <a:avLst/>
                  </a:prstGeom>
                  <a:noFill/>
                  <a:ln>
                    <a:noFill/>
                  </a:ln>
                </pic:spPr>
              </pic:pic>
            </a:graphicData>
          </a:graphic>
        </wp:inline>
      </w:drawing>
    </w:r>
  </w:p>
  <w:p w:rsidR="003253D5" w:rsidRDefault="003253D5">
    <w:pPr>
      <w:pStyle w:val="Header"/>
    </w:pPr>
  </w:p>
  <w:p w:rsidR="003253D5" w:rsidRDefault="00325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BB" w:rsidRDefault="004A62BB" w:rsidP="004A62BB">
    <w:pPr>
      <w:pStyle w:val="Footer"/>
      <w:tabs>
        <w:tab w:val="left" w:pos="2025"/>
        <w:tab w:val="right" w:pos="9278"/>
      </w:tabs>
      <w:ind w:right="360"/>
      <w:rPr>
        <w:b/>
      </w:rPr>
    </w:pPr>
    <w:r>
      <w:rPr>
        <w:b/>
      </w:rPr>
      <w:t>V</w:t>
    </w:r>
    <w:r w:rsidR="00D94D15">
      <w:rPr>
        <w:b/>
      </w:rPr>
      <w:t>ersion 11</w:t>
    </w:r>
    <w:r>
      <w:rPr>
        <w:b/>
      </w:rPr>
      <w:t xml:space="preserve"> – Issued </w:t>
    </w:r>
    <w:r w:rsidR="00C569D7">
      <w:rPr>
        <w:b/>
      </w:rPr>
      <w:t>March 2017</w:t>
    </w:r>
  </w:p>
  <w:p w:rsidR="004A62BB" w:rsidRDefault="004A62BB" w:rsidP="004A62BB">
    <w:pPr>
      <w:rPr>
        <w:rFonts w:cs="Arial"/>
      </w:rPr>
    </w:pPr>
  </w:p>
  <w:p w:rsidR="004A62BB" w:rsidRDefault="004A62BB" w:rsidP="004A62BB">
    <w:pPr>
      <w:pStyle w:val="Header"/>
    </w:pPr>
    <w:r>
      <w:rPr>
        <w:rFonts w:cs="Arial"/>
        <w:noProof/>
      </w:rPr>
      <w:drawing>
        <wp:inline distT="0" distB="0" distL="0" distR="0" wp14:anchorId="6946CF6C" wp14:editId="5C9044EA">
          <wp:extent cx="57245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95300"/>
                  </a:xfrm>
                  <a:prstGeom prst="rect">
                    <a:avLst/>
                  </a:prstGeom>
                  <a:noFill/>
                  <a:ln>
                    <a:noFill/>
                  </a:ln>
                </pic:spPr>
              </pic:pic>
            </a:graphicData>
          </a:graphic>
        </wp:inline>
      </w:drawing>
    </w:r>
  </w:p>
  <w:p w:rsidR="004A62BB" w:rsidRDefault="004A6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D5" w:rsidRDefault="003253D5">
    <w:pPr>
      <w:pStyle w:val="Header"/>
    </w:pPr>
  </w:p>
  <w:p w:rsidR="003253D5" w:rsidRDefault="00325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0B47DE"/>
    <w:multiLevelType w:val="hybridMultilevel"/>
    <w:tmpl w:val="AED83F98"/>
    <w:lvl w:ilvl="0" w:tplc="8FAE9BFE">
      <w:start w:val="1"/>
      <w:numFmt w:val="bullet"/>
      <w:lvlText w:val=""/>
      <w:lvlJc w:val="left"/>
      <w:pPr>
        <w:tabs>
          <w:tab w:val="num" w:pos="1080"/>
        </w:tabs>
        <w:ind w:left="1080" w:hanging="360"/>
      </w:pPr>
      <w:rPr>
        <w:rFonts w:ascii="Symbol" w:hAnsi="Symbol" w:hint="default"/>
      </w:rPr>
    </w:lvl>
    <w:lvl w:ilvl="1" w:tplc="E05A88AC" w:tentative="1">
      <w:start w:val="1"/>
      <w:numFmt w:val="lowerLetter"/>
      <w:lvlText w:val="%2."/>
      <w:lvlJc w:val="left"/>
      <w:pPr>
        <w:tabs>
          <w:tab w:val="num" w:pos="1800"/>
        </w:tabs>
        <w:ind w:left="1800" w:hanging="360"/>
      </w:pPr>
    </w:lvl>
    <w:lvl w:ilvl="2" w:tplc="91644BD6" w:tentative="1">
      <w:start w:val="1"/>
      <w:numFmt w:val="lowerRoman"/>
      <w:lvlText w:val="%3."/>
      <w:lvlJc w:val="right"/>
      <w:pPr>
        <w:tabs>
          <w:tab w:val="num" w:pos="2520"/>
        </w:tabs>
        <w:ind w:left="2520" w:hanging="180"/>
      </w:pPr>
    </w:lvl>
    <w:lvl w:ilvl="3" w:tplc="DA8A5EA8" w:tentative="1">
      <w:start w:val="1"/>
      <w:numFmt w:val="decimal"/>
      <w:lvlText w:val="%4."/>
      <w:lvlJc w:val="left"/>
      <w:pPr>
        <w:tabs>
          <w:tab w:val="num" w:pos="3240"/>
        </w:tabs>
        <w:ind w:left="3240" w:hanging="360"/>
      </w:pPr>
    </w:lvl>
    <w:lvl w:ilvl="4" w:tplc="BAACF9BC" w:tentative="1">
      <w:start w:val="1"/>
      <w:numFmt w:val="lowerLetter"/>
      <w:lvlText w:val="%5."/>
      <w:lvlJc w:val="left"/>
      <w:pPr>
        <w:tabs>
          <w:tab w:val="num" w:pos="3960"/>
        </w:tabs>
        <w:ind w:left="3960" w:hanging="360"/>
      </w:pPr>
    </w:lvl>
    <w:lvl w:ilvl="5" w:tplc="57364F46" w:tentative="1">
      <w:start w:val="1"/>
      <w:numFmt w:val="lowerRoman"/>
      <w:lvlText w:val="%6."/>
      <w:lvlJc w:val="right"/>
      <w:pPr>
        <w:tabs>
          <w:tab w:val="num" w:pos="4680"/>
        </w:tabs>
        <w:ind w:left="4680" w:hanging="180"/>
      </w:pPr>
    </w:lvl>
    <w:lvl w:ilvl="6" w:tplc="A1CEFC7A" w:tentative="1">
      <w:start w:val="1"/>
      <w:numFmt w:val="decimal"/>
      <w:lvlText w:val="%7."/>
      <w:lvlJc w:val="left"/>
      <w:pPr>
        <w:tabs>
          <w:tab w:val="num" w:pos="5400"/>
        </w:tabs>
        <w:ind w:left="5400" w:hanging="360"/>
      </w:pPr>
    </w:lvl>
    <w:lvl w:ilvl="7" w:tplc="A1245768" w:tentative="1">
      <w:start w:val="1"/>
      <w:numFmt w:val="lowerLetter"/>
      <w:lvlText w:val="%8."/>
      <w:lvlJc w:val="left"/>
      <w:pPr>
        <w:tabs>
          <w:tab w:val="num" w:pos="6120"/>
        </w:tabs>
        <w:ind w:left="6120" w:hanging="360"/>
      </w:pPr>
    </w:lvl>
    <w:lvl w:ilvl="8" w:tplc="AD0892EA" w:tentative="1">
      <w:start w:val="1"/>
      <w:numFmt w:val="lowerRoman"/>
      <w:lvlText w:val="%9."/>
      <w:lvlJc w:val="right"/>
      <w:pPr>
        <w:tabs>
          <w:tab w:val="num" w:pos="6840"/>
        </w:tabs>
        <w:ind w:left="6840" w:hanging="180"/>
      </w:pPr>
    </w:lvl>
  </w:abstractNum>
  <w:abstractNum w:abstractNumId="2">
    <w:nsid w:val="2BD30BFF"/>
    <w:multiLevelType w:val="hybridMultilevel"/>
    <w:tmpl w:val="3E7C9522"/>
    <w:lvl w:ilvl="0" w:tplc="88DAABAE">
      <w:start w:val="1"/>
      <w:numFmt w:val="bullet"/>
      <w:lvlText w:val=""/>
      <w:lvlJc w:val="left"/>
      <w:pPr>
        <w:tabs>
          <w:tab w:val="num" w:pos="1080"/>
        </w:tabs>
        <w:ind w:left="1080" w:hanging="360"/>
      </w:pPr>
      <w:rPr>
        <w:rFonts w:ascii="Symbol" w:hAnsi="Symbol" w:hint="default"/>
      </w:rPr>
    </w:lvl>
    <w:lvl w:ilvl="1" w:tplc="BBD08C26">
      <w:start w:val="1"/>
      <w:numFmt w:val="bullet"/>
      <w:lvlText w:val="o"/>
      <w:lvlJc w:val="left"/>
      <w:pPr>
        <w:tabs>
          <w:tab w:val="num" w:pos="1800"/>
        </w:tabs>
        <w:ind w:left="1800" w:hanging="360"/>
      </w:pPr>
      <w:rPr>
        <w:rFonts w:ascii="Courier New" w:hAnsi="Courier New" w:cs="Courier New" w:hint="default"/>
      </w:rPr>
    </w:lvl>
    <w:lvl w:ilvl="2" w:tplc="0DB07374" w:tentative="1">
      <w:start w:val="1"/>
      <w:numFmt w:val="bullet"/>
      <w:lvlText w:val=""/>
      <w:lvlJc w:val="left"/>
      <w:pPr>
        <w:tabs>
          <w:tab w:val="num" w:pos="2520"/>
        </w:tabs>
        <w:ind w:left="2520" w:hanging="360"/>
      </w:pPr>
      <w:rPr>
        <w:rFonts w:ascii="Wingdings" w:hAnsi="Wingdings" w:hint="default"/>
      </w:rPr>
    </w:lvl>
    <w:lvl w:ilvl="3" w:tplc="C840DFB4" w:tentative="1">
      <w:start w:val="1"/>
      <w:numFmt w:val="bullet"/>
      <w:lvlText w:val=""/>
      <w:lvlJc w:val="left"/>
      <w:pPr>
        <w:tabs>
          <w:tab w:val="num" w:pos="3240"/>
        </w:tabs>
        <w:ind w:left="3240" w:hanging="360"/>
      </w:pPr>
      <w:rPr>
        <w:rFonts w:ascii="Symbol" w:hAnsi="Symbol" w:hint="default"/>
      </w:rPr>
    </w:lvl>
    <w:lvl w:ilvl="4" w:tplc="B82629EC" w:tentative="1">
      <w:start w:val="1"/>
      <w:numFmt w:val="bullet"/>
      <w:lvlText w:val="o"/>
      <w:lvlJc w:val="left"/>
      <w:pPr>
        <w:tabs>
          <w:tab w:val="num" w:pos="3960"/>
        </w:tabs>
        <w:ind w:left="3960" w:hanging="360"/>
      </w:pPr>
      <w:rPr>
        <w:rFonts w:ascii="Courier New" w:hAnsi="Courier New" w:cs="Courier New" w:hint="default"/>
      </w:rPr>
    </w:lvl>
    <w:lvl w:ilvl="5" w:tplc="8DF0A9EC" w:tentative="1">
      <w:start w:val="1"/>
      <w:numFmt w:val="bullet"/>
      <w:lvlText w:val=""/>
      <w:lvlJc w:val="left"/>
      <w:pPr>
        <w:tabs>
          <w:tab w:val="num" w:pos="4680"/>
        </w:tabs>
        <w:ind w:left="4680" w:hanging="360"/>
      </w:pPr>
      <w:rPr>
        <w:rFonts w:ascii="Wingdings" w:hAnsi="Wingdings" w:hint="default"/>
      </w:rPr>
    </w:lvl>
    <w:lvl w:ilvl="6" w:tplc="5CCC67D0" w:tentative="1">
      <w:start w:val="1"/>
      <w:numFmt w:val="bullet"/>
      <w:lvlText w:val=""/>
      <w:lvlJc w:val="left"/>
      <w:pPr>
        <w:tabs>
          <w:tab w:val="num" w:pos="5400"/>
        </w:tabs>
        <w:ind w:left="5400" w:hanging="360"/>
      </w:pPr>
      <w:rPr>
        <w:rFonts w:ascii="Symbol" w:hAnsi="Symbol" w:hint="default"/>
      </w:rPr>
    </w:lvl>
    <w:lvl w:ilvl="7" w:tplc="2A067656" w:tentative="1">
      <w:start w:val="1"/>
      <w:numFmt w:val="bullet"/>
      <w:lvlText w:val="o"/>
      <w:lvlJc w:val="left"/>
      <w:pPr>
        <w:tabs>
          <w:tab w:val="num" w:pos="6120"/>
        </w:tabs>
        <w:ind w:left="6120" w:hanging="360"/>
      </w:pPr>
      <w:rPr>
        <w:rFonts w:ascii="Courier New" w:hAnsi="Courier New" w:cs="Courier New" w:hint="default"/>
      </w:rPr>
    </w:lvl>
    <w:lvl w:ilvl="8" w:tplc="48185364" w:tentative="1">
      <w:start w:val="1"/>
      <w:numFmt w:val="bullet"/>
      <w:lvlText w:val=""/>
      <w:lvlJc w:val="left"/>
      <w:pPr>
        <w:tabs>
          <w:tab w:val="num" w:pos="6840"/>
        </w:tabs>
        <w:ind w:left="6840" w:hanging="360"/>
      </w:pPr>
      <w:rPr>
        <w:rFonts w:ascii="Wingdings" w:hAnsi="Wingdings" w:hint="default"/>
      </w:rPr>
    </w:lvl>
  </w:abstractNum>
  <w:abstractNum w:abstractNumId="3">
    <w:nsid w:val="504D6DAF"/>
    <w:multiLevelType w:val="hybridMultilevel"/>
    <w:tmpl w:val="3092D458"/>
    <w:lvl w:ilvl="0" w:tplc="008C7732">
      <w:start w:val="1"/>
      <w:numFmt w:val="bullet"/>
      <w:lvlText w:val=""/>
      <w:lvlJc w:val="left"/>
      <w:pPr>
        <w:tabs>
          <w:tab w:val="num" w:pos="1080"/>
        </w:tabs>
        <w:ind w:left="1080" w:hanging="360"/>
      </w:pPr>
      <w:rPr>
        <w:rFonts w:ascii="Symbol" w:hAnsi="Symbol" w:hint="default"/>
      </w:rPr>
    </w:lvl>
    <w:lvl w:ilvl="1" w:tplc="3D5A34A8">
      <w:start w:val="1"/>
      <w:numFmt w:val="lowerLetter"/>
      <w:lvlText w:val="%2."/>
      <w:lvlJc w:val="left"/>
      <w:pPr>
        <w:tabs>
          <w:tab w:val="num" w:pos="1931"/>
        </w:tabs>
        <w:ind w:left="1931" w:hanging="360"/>
      </w:pPr>
    </w:lvl>
    <w:lvl w:ilvl="2" w:tplc="91B0A03E">
      <w:start w:val="1"/>
      <w:numFmt w:val="lowerRoman"/>
      <w:lvlText w:val="%3."/>
      <w:lvlJc w:val="right"/>
      <w:pPr>
        <w:tabs>
          <w:tab w:val="num" w:pos="2651"/>
        </w:tabs>
        <w:ind w:left="2651" w:hanging="180"/>
      </w:pPr>
    </w:lvl>
    <w:lvl w:ilvl="3" w:tplc="D7B0374A">
      <w:start w:val="1"/>
      <w:numFmt w:val="decimal"/>
      <w:lvlText w:val="%4."/>
      <w:lvlJc w:val="left"/>
      <w:pPr>
        <w:tabs>
          <w:tab w:val="num" w:pos="3371"/>
        </w:tabs>
        <w:ind w:left="3371" w:hanging="360"/>
      </w:pPr>
    </w:lvl>
    <w:lvl w:ilvl="4" w:tplc="8D3EF71E" w:tentative="1">
      <w:start w:val="1"/>
      <w:numFmt w:val="lowerLetter"/>
      <w:lvlText w:val="%5."/>
      <w:lvlJc w:val="left"/>
      <w:pPr>
        <w:tabs>
          <w:tab w:val="num" w:pos="4091"/>
        </w:tabs>
        <w:ind w:left="4091" w:hanging="360"/>
      </w:pPr>
    </w:lvl>
    <w:lvl w:ilvl="5" w:tplc="BF1876D2" w:tentative="1">
      <w:start w:val="1"/>
      <w:numFmt w:val="lowerRoman"/>
      <w:lvlText w:val="%6."/>
      <w:lvlJc w:val="right"/>
      <w:pPr>
        <w:tabs>
          <w:tab w:val="num" w:pos="4811"/>
        </w:tabs>
        <w:ind w:left="4811" w:hanging="180"/>
      </w:pPr>
    </w:lvl>
    <w:lvl w:ilvl="6" w:tplc="B936FE86" w:tentative="1">
      <w:start w:val="1"/>
      <w:numFmt w:val="decimal"/>
      <w:lvlText w:val="%7."/>
      <w:lvlJc w:val="left"/>
      <w:pPr>
        <w:tabs>
          <w:tab w:val="num" w:pos="5531"/>
        </w:tabs>
        <w:ind w:left="5531" w:hanging="360"/>
      </w:pPr>
    </w:lvl>
    <w:lvl w:ilvl="7" w:tplc="FD88D27C" w:tentative="1">
      <w:start w:val="1"/>
      <w:numFmt w:val="lowerLetter"/>
      <w:lvlText w:val="%8."/>
      <w:lvlJc w:val="left"/>
      <w:pPr>
        <w:tabs>
          <w:tab w:val="num" w:pos="6251"/>
        </w:tabs>
        <w:ind w:left="6251" w:hanging="360"/>
      </w:pPr>
    </w:lvl>
    <w:lvl w:ilvl="8" w:tplc="78060288" w:tentative="1">
      <w:start w:val="1"/>
      <w:numFmt w:val="lowerRoman"/>
      <w:lvlText w:val="%9."/>
      <w:lvlJc w:val="right"/>
      <w:pPr>
        <w:tabs>
          <w:tab w:val="num" w:pos="6971"/>
        </w:tabs>
        <w:ind w:left="6971" w:hanging="180"/>
      </w:pPr>
    </w:lvl>
  </w:abstractNum>
  <w:abstractNum w:abstractNumId="4">
    <w:nsid w:val="51EB5C8E"/>
    <w:multiLevelType w:val="hybridMultilevel"/>
    <w:tmpl w:val="EE8AE1CC"/>
    <w:lvl w:ilvl="0" w:tplc="06DC93B4">
      <w:start w:val="1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317A0B"/>
    <w:multiLevelType w:val="hybridMultilevel"/>
    <w:tmpl w:val="A8B84E78"/>
    <w:lvl w:ilvl="0" w:tplc="36584B08">
      <w:start w:val="1"/>
      <w:numFmt w:val="decimal"/>
      <w:pStyle w:val="NumberedPara"/>
      <w:lvlText w:val="%1."/>
      <w:lvlJc w:val="left"/>
      <w:pPr>
        <w:tabs>
          <w:tab w:val="num" w:pos="1211"/>
        </w:tabs>
        <w:ind w:left="1211" w:hanging="360"/>
      </w:pPr>
    </w:lvl>
    <w:lvl w:ilvl="1" w:tplc="EC3698A4">
      <w:start w:val="1"/>
      <w:numFmt w:val="lowerLetter"/>
      <w:lvlText w:val="%2."/>
      <w:lvlJc w:val="left"/>
      <w:pPr>
        <w:tabs>
          <w:tab w:val="num" w:pos="1931"/>
        </w:tabs>
        <w:ind w:left="1931" w:hanging="360"/>
      </w:pPr>
    </w:lvl>
    <w:lvl w:ilvl="2" w:tplc="54CEEFFE">
      <w:start w:val="1"/>
      <w:numFmt w:val="lowerRoman"/>
      <w:lvlText w:val="%3."/>
      <w:lvlJc w:val="right"/>
      <w:pPr>
        <w:tabs>
          <w:tab w:val="num" w:pos="2651"/>
        </w:tabs>
        <w:ind w:left="2651" w:hanging="180"/>
      </w:pPr>
    </w:lvl>
    <w:lvl w:ilvl="3" w:tplc="7E32E9CE">
      <w:start w:val="1"/>
      <w:numFmt w:val="decimal"/>
      <w:lvlText w:val="%4."/>
      <w:lvlJc w:val="left"/>
      <w:pPr>
        <w:tabs>
          <w:tab w:val="num" w:pos="3371"/>
        </w:tabs>
        <w:ind w:left="3371" w:hanging="360"/>
      </w:pPr>
    </w:lvl>
    <w:lvl w:ilvl="4" w:tplc="10F83964" w:tentative="1">
      <w:start w:val="1"/>
      <w:numFmt w:val="lowerLetter"/>
      <w:lvlText w:val="%5."/>
      <w:lvlJc w:val="left"/>
      <w:pPr>
        <w:tabs>
          <w:tab w:val="num" w:pos="4091"/>
        </w:tabs>
        <w:ind w:left="4091" w:hanging="360"/>
      </w:pPr>
    </w:lvl>
    <w:lvl w:ilvl="5" w:tplc="2FD43388" w:tentative="1">
      <w:start w:val="1"/>
      <w:numFmt w:val="lowerRoman"/>
      <w:lvlText w:val="%6."/>
      <w:lvlJc w:val="right"/>
      <w:pPr>
        <w:tabs>
          <w:tab w:val="num" w:pos="4811"/>
        </w:tabs>
        <w:ind w:left="4811" w:hanging="180"/>
      </w:pPr>
    </w:lvl>
    <w:lvl w:ilvl="6" w:tplc="4C5A7838" w:tentative="1">
      <w:start w:val="1"/>
      <w:numFmt w:val="decimal"/>
      <w:lvlText w:val="%7."/>
      <w:lvlJc w:val="left"/>
      <w:pPr>
        <w:tabs>
          <w:tab w:val="num" w:pos="5531"/>
        </w:tabs>
        <w:ind w:left="5531" w:hanging="360"/>
      </w:pPr>
    </w:lvl>
    <w:lvl w:ilvl="7" w:tplc="78ACF8C2" w:tentative="1">
      <w:start w:val="1"/>
      <w:numFmt w:val="lowerLetter"/>
      <w:lvlText w:val="%8."/>
      <w:lvlJc w:val="left"/>
      <w:pPr>
        <w:tabs>
          <w:tab w:val="num" w:pos="6251"/>
        </w:tabs>
        <w:ind w:left="6251" w:hanging="360"/>
      </w:pPr>
    </w:lvl>
    <w:lvl w:ilvl="8" w:tplc="D49AC440" w:tentative="1">
      <w:start w:val="1"/>
      <w:numFmt w:val="lowerRoman"/>
      <w:lvlText w:val="%9."/>
      <w:lvlJc w:val="right"/>
      <w:pPr>
        <w:tabs>
          <w:tab w:val="num" w:pos="6971"/>
        </w:tabs>
        <w:ind w:left="6971" w:hanging="180"/>
      </w:pPr>
    </w:lvl>
  </w:abstractNum>
  <w:abstractNum w:abstractNumId="6">
    <w:nsid w:val="7841173A"/>
    <w:multiLevelType w:val="hybridMultilevel"/>
    <w:tmpl w:val="6084195A"/>
    <w:lvl w:ilvl="0" w:tplc="AAB69710">
      <w:start w:val="1"/>
      <w:numFmt w:val="lowerLetter"/>
      <w:lvlText w:val="(%1)"/>
      <w:lvlJc w:val="left"/>
      <w:pPr>
        <w:tabs>
          <w:tab w:val="num" w:pos="795"/>
        </w:tabs>
        <w:ind w:left="795" w:hanging="435"/>
      </w:pPr>
      <w:rPr>
        <w:rFonts w:hint="default"/>
      </w:rPr>
    </w:lvl>
    <w:lvl w:ilvl="1" w:tplc="D12C0CB0" w:tentative="1">
      <w:start w:val="1"/>
      <w:numFmt w:val="lowerLetter"/>
      <w:lvlText w:val="%2."/>
      <w:lvlJc w:val="left"/>
      <w:pPr>
        <w:tabs>
          <w:tab w:val="num" w:pos="1440"/>
        </w:tabs>
        <w:ind w:left="1440" w:hanging="360"/>
      </w:pPr>
    </w:lvl>
    <w:lvl w:ilvl="2" w:tplc="16BA61A6" w:tentative="1">
      <w:start w:val="1"/>
      <w:numFmt w:val="lowerRoman"/>
      <w:lvlText w:val="%3."/>
      <w:lvlJc w:val="right"/>
      <w:pPr>
        <w:tabs>
          <w:tab w:val="num" w:pos="2160"/>
        </w:tabs>
        <w:ind w:left="2160" w:hanging="180"/>
      </w:pPr>
    </w:lvl>
    <w:lvl w:ilvl="3" w:tplc="76AC0D3C" w:tentative="1">
      <w:start w:val="1"/>
      <w:numFmt w:val="decimal"/>
      <w:lvlText w:val="%4."/>
      <w:lvlJc w:val="left"/>
      <w:pPr>
        <w:tabs>
          <w:tab w:val="num" w:pos="2880"/>
        </w:tabs>
        <w:ind w:left="2880" w:hanging="360"/>
      </w:pPr>
    </w:lvl>
    <w:lvl w:ilvl="4" w:tplc="3634F250" w:tentative="1">
      <w:start w:val="1"/>
      <w:numFmt w:val="lowerLetter"/>
      <w:lvlText w:val="%5."/>
      <w:lvlJc w:val="left"/>
      <w:pPr>
        <w:tabs>
          <w:tab w:val="num" w:pos="3600"/>
        </w:tabs>
        <w:ind w:left="3600" w:hanging="360"/>
      </w:pPr>
    </w:lvl>
    <w:lvl w:ilvl="5" w:tplc="7182E2CC" w:tentative="1">
      <w:start w:val="1"/>
      <w:numFmt w:val="lowerRoman"/>
      <w:lvlText w:val="%6."/>
      <w:lvlJc w:val="right"/>
      <w:pPr>
        <w:tabs>
          <w:tab w:val="num" w:pos="4320"/>
        </w:tabs>
        <w:ind w:left="4320" w:hanging="180"/>
      </w:pPr>
    </w:lvl>
    <w:lvl w:ilvl="6" w:tplc="347E3A74" w:tentative="1">
      <w:start w:val="1"/>
      <w:numFmt w:val="decimal"/>
      <w:lvlText w:val="%7."/>
      <w:lvlJc w:val="left"/>
      <w:pPr>
        <w:tabs>
          <w:tab w:val="num" w:pos="5040"/>
        </w:tabs>
        <w:ind w:left="5040" w:hanging="360"/>
      </w:pPr>
    </w:lvl>
    <w:lvl w:ilvl="7" w:tplc="DBF290F8" w:tentative="1">
      <w:start w:val="1"/>
      <w:numFmt w:val="lowerLetter"/>
      <w:lvlText w:val="%8."/>
      <w:lvlJc w:val="left"/>
      <w:pPr>
        <w:tabs>
          <w:tab w:val="num" w:pos="5760"/>
        </w:tabs>
        <w:ind w:left="5760" w:hanging="360"/>
      </w:pPr>
    </w:lvl>
    <w:lvl w:ilvl="8" w:tplc="F50693C0"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A6"/>
    <w:rsid w:val="00010458"/>
    <w:rsid w:val="000116C7"/>
    <w:rsid w:val="000126ED"/>
    <w:rsid w:val="00024D57"/>
    <w:rsid w:val="000328C0"/>
    <w:rsid w:val="000521F7"/>
    <w:rsid w:val="00055EA8"/>
    <w:rsid w:val="0005703C"/>
    <w:rsid w:val="00062794"/>
    <w:rsid w:val="00066753"/>
    <w:rsid w:val="00066C8B"/>
    <w:rsid w:val="00075EAE"/>
    <w:rsid w:val="00081697"/>
    <w:rsid w:val="000C4760"/>
    <w:rsid w:val="000D0691"/>
    <w:rsid w:val="000D0E7B"/>
    <w:rsid w:val="000D2EC5"/>
    <w:rsid w:val="000D4304"/>
    <w:rsid w:val="000E0D1F"/>
    <w:rsid w:val="000E1B11"/>
    <w:rsid w:val="000F01E1"/>
    <w:rsid w:val="00143A93"/>
    <w:rsid w:val="00155362"/>
    <w:rsid w:val="0016183E"/>
    <w:rsid w:val="00161926"/>
    <w:rsid w:val="00167BE6"/>
    <w:rsid w:val="00172D42"/>
    <w:rsid w:val="00182C61"/>
    <w:rsid w:val="001840F2"/>
    <w:rsid w:val="00184623"/>
    <w:rsid w:val="0018619D"/>
    <w:rsid w:val="00196049"/>
    <w:rsid w:val="001A50CB"/>
    <w:rsid w:val="001B352A"/>
    <w:rsid w:val="001D78E1"/>
    <w:rsid w:val="001F50C5"/>
    <w:rsid w:val="002027D4"/>
    <w:rsid w:val="00212050"/>
    <w:rsid w:val="002127D9"/>
    <w:rsid w:val="00214B8A"/>
    <w:rsid w:val="00214C02"/>
    <w:rsid w:val="00220890"/>
    <w:rsid w:val="00234631"/>
    <w:rsid w:val="00246909"/>
    <w:rsid w:val="00256D3B"/>
    <w:rsid w:val="00272909"/>
    <w:rsid w:val="0028312D"/>
    <w:rsid w:val="002B021C"/>
    <w:rsid w:val="002B435F"/>
    <w:rsid w:val="002C5B95"/>
    <w:rsid w:val="002D208A"/>
    <w:rsid w:val="002D5502"/>
    <w:rsid w:val="002D5CF9"/>
    <w:rsid w:val="002D5E20"/>
    <w:rsid w:val="002D683D"/>
    <w:rsid w:val="002F42B6"/>
    <w:rsid w:val="002F692E"/>
    <w:rsid w:val="00302F28"/>
    <w:rsid w:val="00303725"/>
    <w:rsid w:val="00317FB3"/>
    <w:rsid w:val="003214D0"/>
    <w:rsid w:val="00323413"/>
    <w:rsid w:val="003253D5"/>
    <w:rsid w:val="00330D48"/>
    <w:rsid w:val="003362BC"/>
    <w:rsid w:val="00336F03"/>
    <w:rsid w:val="00346FA5"/>
    <w:rsid w:val="0035319E"/>
    <w:rsid w:val="003538C1"/>
    <w:rsid w:val="00363CB6"/>
    <w:rsid w:val="00370E78"/>
    <w:rsid w:val="003A0641"/>
    <w:rsid w:val="003A41CA"/>
    <w:rsid w:val="003A6550"/>
    <w:rsid w:val="003D1C6E"/>
    <w:rsid w:val="003E2BF6"/>
    <w:rsid w:val="00422CA7"/>
    <w:rsid w:val="0046599A"/>
    <w:rsid w:val="0047219F"/>
    <w:rsid w:val="0048388B"/>
    <w:rsid w:val="004947E4"/>
    <w:rsid w:val="00494F28"/>
    <w:rsid w:val="004A4A66"/>
    <w:rsid w:val="004A62BB"/>
    <w:rsid w:val="004B2984"/>
    <w:rsid w:val="004B4DA6"/>
    <w:rsid w:val="004D5777"/>
    <w:rsid w:val="004E057E"/>
    <w:rsid w:val="00500B4C"/>
    <w:rsid w:val="00513626"/>
    <w:rsid w:val="00521AFB"/>
    <w:rsid w:val="005255DC"/>
    <w:rsid w:val="005273D9"/>
    <w:rsid w:val="00530E47"/>
    <w:rsid w:val="00533423"/>
    <w:rsid w:val="0053418E"/>
    <w:rsid w:val="00550C30"/>
    <w:rsid w:val="005627B8"/>
    <w:rsid w:val="00581162"/>
    <w:rsid w:val="00586FD4"/>
    <w:rsid w:val="00590BB4"/>
    <w:rsid w:val="00593F5D"/>
    <w:rsid w:val="0059472C"/>
    <w:rsid w:val="005C2FCB"/>
    <w:rsid w:val="005F65C4"/>
    <w:rsid w:val="00600DE1"/>
    <w:rsid w:val="00606323"/>
    <w:rsid w:val="00611458"/>
    <w:rsid w:val="006158D1"/>
    <w:rsid w:val="00630001"/>
    <w:rsid w:val="006360C0"/>
    <w:rsid w:val="0063664A"/>
    <w:rsid w:val="00661B87"/>
    <w:rsid w:val="00662DB0"/>
    <w:rsid w:val="006B13F9"/>
    <w:rsid w:val="006B4C72"/>
    <w:rsid w:val="006E01FB"/>
    <w:rsid w:val="006F0710"/>
    <w:rsid w:val="006F2E04"/>
    <w:rsid w:val="006F42A6"/>
    <w:rsid w:val="00706F15"/>
    <w:rsid w:val="00710891"/>
    <w:rsid w:val="00722C37"/>
    <w:rsid w:val="0072654F"/>
    <w:rsid w:val="00731540"/>
    <w:rsid w:val="00736241"/>
    <w:rsid w:val="007376E9"/>
    <w:rsid w:val="007603AA"/>
    <w:rsid w:val="00760A49"/>
    <w:rsid w:val="00760B73"/>
    <w:rsid w:val="00764619"/>
    <w:rsid w:val="00772DFE"/>
    <w:rsid w:val="0078312D"/>
    <w:rsid w:val="007D1547"/>
    <w:rsid w:val="007D1E44"/>
    <w:rsid w:val="007D4C6F"/>
    <w:rsid w:val="007D5A29"/>
    <w:rsid w:val="007F0BD3"/>
    <w:rsid w:val="007F22E4"/>
    <w:rsid w:val="007F2B07"/>
    <w:rsid w:val="007F4377"/>
    <w:rsid w:val="007F4487"/>
    <w:rsid w:val="007F66CA"/>
    <w:rsid w:val="00803933"/>
    <w:rsid w:val="00803AB7"/>
    <w:rsid w:val="00806086"/>
    <w:rsid w:val="00815653"/>
    <w:rsid w:val="0082129E"/>
    <w:rsid w:val="00822264"/>
    <w:rsid w:val="0082497B"/>
    <w:rsid w:val="00827869"/>
    <w:rsid w:val="0083100C"/>
    <w:rsid w:val="0083577A"/>
    <w:rsid w:val="00840AA4"/>
    <w:rsid w:val="00860F4C"/>
    <w:rsid w:val="00866703"/>
    <w:rsid w:val="00881C86"/>
    <w:rsid w:val="008A508C"/>
    <w:rsid w:val="008B11A6"/>
    <w:rsid w:val="008B2207"/>
    <w:rsid w:val="008D02D0"/>
    <w:rsid w:val="008D3DCD"/>
    <w:rsid w:val="008D57B5"/>
    <w:rsid w:val="008F3208"/>
    <w:rsid w:val="008F6B3A"/>
    <w:rsid w:val="0090152F"/>
    <w:rsid w:val="00905B38"/>
    <w:rsid w:val="00922565"/>
    <w:rsid w:val="009401FB"/>
    <w:rsid w:val="009427F1"/>
    <w:rsid w:val="009529A1"/>
    <w:rsid w:val="009607F0"/>
    <w:rsid w:val="00986734"/>
    <w:rsid w:val="00995297"/>
    <w:rsid w:val="009A651E"/>
    <w:rsid w:val="009B04EA"/>
    <w:rsid w:val="009B18E3"/>
    <w:rsid w:val="009C580A"/>
    <w:rsid w:val="009E5ED6"/>
    <w:rsid w:val="00A06DC4"/>
    <w:rsid w:val="00A0793E"/>
    <w:rsid w:val="00A14D8D"/>
    <w:rsid w:val="00A5050C"/>
    <w:rsid w:val="00A565CC"/>
    <w:rsid w:val="00A6627F"/>
    <w:rsid w:val="00A663E1"/>
    <w:rsid w:val="00A71547"/>
    <w:rsid w:val="00A7449E"/>
    <w:rsid w:val="00A8005E"/>
    <w:rsid w:val="00A95426"/>
    <w:rsid w:val="00A97851"/>
    <w:rsid w:val="00AA3969"/>
    <w:rsid w:val="00AC74F7"/>
    <w:rsid w:val="00AD31B9"/>
    <w:rsid w:val="00AD69E6"/>
    <w:rsid w:val="00AE17FB"/>
    <w:rsid w:val="00B14957"/>
    <w:rsid w:val="00B15F94"/>
    <w:rsid w:val="00B279A8"/>
    <w:rsid w:val="00B503EF"/>
    <w:rsid w:val="00B60BE8"/>
    <w:rsid w:val="00B7732B"/>
    <w:rsid w:val="00B80A3B"/>
    <w:rsid w:val="00B81814"/>
    <w:rsid w:val="00B95445"/>
    <w:rsid w:val="00B97107"/>
    <w:rsid w:val="00BA66CE"/>
    <w:rsid w:val="00BC128F"/>
    <w:rsid w:val="00BD793E"/>
    <w:rsid w:val="00BE04B7"/>
    <w:rsid w:val="00BF0ED6"/>
    <w:rsid w:val="00C05DAE"/>
    <w:rsid w:val="00C14D14"/>
    <w:rsid w:val="00C35E46"/>
    <w:rsid w:val="00C516C7"/>
    <w:rsid w:val="00C569D7"/>
    <w:rsid w:val="00C816F3"/>
    <w:rsid w:val="00C81C52"/>
    <w:rsid w:val="00C85013"/>
    <w:rsid w:val="00C87620"/>
    <w:rsid w:val="00C94107"/>
    <w:rsid w:val="00C96181"/>
    <w:rsid w:val="00CB4B5F"/>
    <w:rsid w:val="00CC1663"/>
    <w:rsid w:val="00CC608B"/>
    <w:rsid w:val="00CD577C"/>
    <w:rsid w:val="00CD770B"/>
    <w:rsid w:val="00CE2AB0"/>
    <w:rsid w:val="00CE4868"/>
    <w:rsid w:val="00CF430C"/>
    <w:rsid w:val="00D05297"/>
    <w:rsid w:val="00D34EDF"/>
    <w:rsid w:val="00D40AED"/>
    <w:rsid w:val="00D54C80"/>
    <w:rsid w:val="00D61CA3"/>
    <w:rsid w:val="00D94D15"/>
    <w:rsid w:val="00DB714D"/>
    <w:rsid w:val="00DB71CD"/>
    <w:rsid w:val="00DC3FE2"/>
    <w:rsid w:val="00DD3FB0"/>
    <w:rsid w:val="00DD3FFD"/>
    <w:rsid w:val="00DF673A"/>
    <w:rsid w:val="00E07B2C"/>
    <w:rsid w:val="00E22F7C"/>
    <w:rsid w:val="00E2416A"/>
    <w:rsid w:val="00E30988"/>
    <w:rsid w:val="00E4634C"/>
    <w:rsid w:val="00E53DB3"/>
    <w:rsid w:val="00E62C43"/>
    <w:rsid w:val="00E72919"/>
    <w:rsid w:val="00E75DE6"/>
    <w:rsid w:val="00E7765A"/>
    <w:rsid w:val="00ED359F"/>
    <w:rsid w:val="00EF617F"/>
    <w:rsid w:val="00F13CE1"/>
    <w:rsid w:val="00F304FE"/>
    <w:rsid w:val="00F36E4E"/>
    <w:rsid w:val="00F5726B"/>
    <w:rsid w:val="00F62325"/>
    <w:rsid w:val="00F65286"/>
    <w:rsid w:val="00F67A7D"/>
    <w:rsid w:val="00F90C9C"/>
    <w:rsid w:val="00F9208E"/>
    <w:rsid w:val="00F95B5A"/>
    <w:rsid w:val="00FB4BC5"/>
    <w:rsid w:val="00FC355E"/>
    <w:rsid w:val="00FC5542"/>
    <w:rsid w:val="00FC7E8B"/>
    <w:rsid w:val="00FD3DDD"/>
    <w:rsid w:val="00FE5401"/>
    <w:rsid w:val="00FE5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4680"/>
        <w:tab w:val="left" w:pos="5400"/>
        <w:tab w:val="right" w:pos="9000"/>
      </w:tabs>
    </w:pPr>
    <w:rPr>
      <w:rFonts w:ascii="Arial" w:hAnsi="Arial"/>
      <w:sz w:val="24"/>
    </w:rPr>
  </w:style>
  <w:style w:type="paragraph" w:styleId="Heading1">
    <w:name w:val="heading 1"/>
    <w:aliases w:val="Outline1"/>
    <w:basedOn w:val="Normal"/>
    <w:next w:val="Normal"/>
    <w:qFormat/>
    <w:pPr>
      <w:numPr>
        <w:numId w:val="1"/>
      </w:numPr>
      <w:outlineLvl w:val="0"/>
    </w:pPr>
    <w:rPr>
      <w:kern w:val="24"/>
    </w:rPr>
  </w:style>
  <w:style w:type="paragraph" w:styleId="Heading2">
    <w:name w:val="heading 2"/>
    <w:aliases w:val="Outline2"/>
    <w:basedOn w:val="Normal"/>
    <w:next w:val="Normal"/>
    <w:qFormat/>
    <w:pPr>
      <w:numPr>
        <w:ilvl w:val="1"/>
        <w:numId w:val="1"/>
      </w:numPr>
      <w:ind w:left="720"/>
      <w:outlineLvl w:val="1"/>
    </w:pPr>
    <w:rPr>
      <w:kern w:val="24"/>
    </w:rPr>
  </w:style>
  <w:style w:type="paragraph" w:styleId="Heading3">
    <w:name w:val="heading 3"/>
    <w:aliases w:val="Outline3"/>
    <w:basedOn w:val="Normal"/>
    <w:next w:val="Normal"/>
    <w:qFormat/>
    <w:pPr>
      <w:numPr>
        <w:ilvl w:val="2"/>
        <w:numId w:val="1"/>
      </w:numPr>
      <w:tabs>
        <w:tab w:val="num" w:pos="720"/>
      </w:tabs>
      <w:ind w:left="1440"/>
      <w:outlineLvl w:val="2"/>
    </w:pPr>
    <w:rPr>
      <w:kern w:val="24"/>
    </w:rPr>
  </w:style>
  <w:style w:type="paragraph" w:styleId="Heading4">
    <w:name w:val="heading 4"/>
    <w:basedOn w:val="Normal"/>
    <w:next w:val="Normal"/>
    <w:qFormat/>
    <w:pPr>
      <w:keepNext/>
      <w:jc w:val="center"/>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pPr>
      <w:tabs>
        <w:tab w:val="clear" w:pos="720"/>
        <w:tab w:val="clear" w:pos="1440"/>
        <w:tab w:val="clear" w:pos="2160"/>
        <w:tab w:val="clear" w:pos="2880"/>
        <w:tab w:val="clear" w:pos="4680"/>
        <w:tab w:val="clear" w:pos="5400"/>
        <w:tab w:val="clear" w:pos="9000"/>
      </w:tabs>
      <w:spacing w:after="160" w:line="240" w:lineRule="exact"/>
    </w:pPr>
    <w:rPr>
      <w:rFonts w:ascii="Verdana" w:hAnsi="Verdana"/>
      <w:sz w:val="20"/>
      <w:lang w:val="en-US" w:eastAsia="en-US"/>
    </w:rPr>
  </w:style>
  <w:style w:type="paragraph" w:customStyle="1" w:styleId="BidBodyText">
    <w:name w:val="Bid Body Text"/>
    <w:basedOn w:val="Normal"/>
    <w:pPr>
      <w:tabs>
        <w:tab w:val="clear" w:pos="720"/>
        <w:tab w:val="clear" w:pos="1440"/>
        <w:tab w:val="clear" w:pos="2160"/>
        <w:tab w:val="clear" w:pos="2880"/>
        <w:tab w:val="clear" w:pos="4680"/>
        <w:tab w:val="clear" w:pos="5400"/>
        <w:tab w:val="clear" w:pos="9000"/>
        <w:tab w:val="left" w:pos="567"/>
        <w:tab w:val="left" w:pos="1701"/>
        <w:tab w:val="left" w:pos="2268"/>
      </w:tabs>
      <w:spacing w:after="240"/>
      <w:ind w:left="720"/>
      <w:jc w:val="both"/>
    </w:pPr>
    <w:rPr>
      <w:sz w:val="22"/>
      <w:szCs w:val="22"/>
    </w:rPr>
  </w:style>
  <w:style w:type="paragraph" w:customStyle="1" w:styleId="StyleHeading211ptAuto">
    <w:name w:val="Style Heading 2 + 11 pt Auto"/>
    <w:basedOn w:val="Heading2"/>
    <w:pPr>
      <w:keepNext/>
      <w:numPr>
        <w:ilvl w:val="0"/>
        <w:numId w:val="0"/>
      </w:numPr>
      <w:tabs>
        <w:tab w:val="clear" w:pos="720"/>
        <w:tab w:val="clear" w:pos="1440"/>
        <w:tab w:val="clear" w:pos="2160"/>
        <w:tab w:val="clear" w:pos="2880"/>
        <w:tab w:val="clear" w:pos="4680"/>
        <w:tab w:val="clear" w:pos="5400"/>
        <w:tab w:val="clear" w:pos="9000"/>
        <w:tab w:val="left" w:pos="544"/>
      </w:tabs>
      <w:overflowPunct w:val="0"/>
      <w:autoSpaceDE w:val="0"/>
      <w:autoSpaceDN w:val="0"/>
      <w:adjustRightInd w:val="0"/>
      <w:spacing w:after="240"/>
      <w:ind w:left="544" w:hanging="544"/>
      <w:textAlignment w:val="baseline"/>
    </w:pPr>
    <w:rPr>
      <w:b/>
      <w:bCs/>
      <w:kern w:val="0"/>
      <w:sz w:val="22"/>
    </w:rPr>
  </w:style>
  <w:style w:type="character" w:customStyle="1" w:styleId="StyleHeading211ptAutoChar">
    <w:name w:val="Style Heading 2 + 11 pt Auto Char"/>
    <w:rPr>
      <w:rFonts w:ascii="Arial" w:hAnsi="Arial"/>
      <w:b/>
      <w:bCs/>
      <w:noProof w:val="0"/>
      <w:sz w:val="22"/>
      <w:lang w:val="en-GB" w:eastAsia="en-GB" w:bidi="ar-SA"/>
    </w:rPr>
  </w:style>
  <w:style w:type="paragraph" w:customStyle="1" w:styleId="CharCharCharChar1CharCharCharCharCharChar2CharChar">
    <w:name w:val="Char Char Char Char1 Char Char Char Char Char Char2 Char Char"/>
    <w:basedOn w:val="Normal"/>
    <w:pPr>
      <w:tabs>
        <w:tab w:val="clear" w:pos="720"/>
        <w:tab w:val="clear" w:pos="1440"/>
        <w:tab w:val="clear" w:pos="2160"/>
        <w:tab w:val="clear" w:pos="2880"/>
        <w:tab w:val="clear" w:pos="4680"/>
        <w:tab w:val="clear" w:pos="5400"/>
        <w:tab w:val="clear" w:pos="9000"/>
      </w:tabs>
      <w:spacing w:after="160" w:line="240" w:lineRule="exact"/>
    </w:pPr>
    <w:rPr>
      <w:rFonts w:ascii="Verdana" w:hAnsi="Verdana"/>
      <w:sz w:val="20"/>
      <w:lang w:val="en-US" w:eastAsia="en-US"/>
    </w:rPr>
  </w:style>
  <w:style w:type="paragraph" w:customStyle="1" w:styleId="NumberedPara">
    <w:name w:val="Numbered Para"/>
    <w:basedOn w:val="Normal"/>
    <w:pPr>
      <w:widowControl w:val="0"/>
      <w:numPr>
        <w:numId w:val="3"/>
      </w:numPr>
      <w:tabs>
        <w:tab w:val="clear" w:pos="720"/>
        <w:tab w:val="clear" w:pos="1440"/>
        <w:tab w:val="clear" w:pos="2160"/>
        <w:tab w:val="clear" w:pos="2880"/>
        <w:tab w:val="clear" w:pos="4680"/>
        <w:tab w:val="clear" w:pos="5400"/>
        <w:tab w:val="clear" w:pos="9000"/>
      </w:tabs>
      <w:spacing w:before="120" w:after="120"/>
    </w:pPr>
    <w:rPr>
      <w:sz w:val="20"/>
      <w:lang w:eastAsia="en-US"/>
    </w:rPr>
  </w:style>
  <w:style w:type="paragraph" w:styleId="Footer">
    <w:name w:val="foot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noteText">
    <w:name w:val="footnote text"/>
    <w:basedOn w:val="Normal"/>
    <w:link w:val="FootnoteTextChar"/>
    <w:rsid w:val="006F0710"/>
    <w:rPr>
      <w:sz w:val="20"/>
    </w:rPr>
  </w:style>
  <w:style w:type="character" w:customStyle="1" w:styleId="FootnoteTextChar">
    <w:name w:val="Footnote Text Char"/>
    <w:basedOn w:val="DefaultParagraphFont"/>
    <w:link w:val="FootnoteText"/>
    <w:rsid w:val="006F0710"/>
    <w:rPr>
      <w:rFonts w:ascii="Arial" w:hAnsi="Arial"/>
    </w:rPr>
  </w:style>
  <w:style w:type="character" w:styleId="FootnoteReference">
    <w:name w:val="footnote reference"/>
    <w:basedOn w:val="DefaultParagraphFont"/>
    <w:rsid w:val="006F07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440"/>
        <w:tab w:val="left" w:pos="2160"/>
        <w:tab w:val="left" w:pos="2880"/>
        <w:tab w:val="left" w:pos="4680"/>
        <w:tab w:val="left" w:pos="5400"/>
        <w:tab w:val="right" w:pos="9000"/>
      </w:tabs>
    </w:pPr>
    <w:rPr>
      <w:rFonts w:ascii="Arial" w:hAnsi="Arial"/>
      <w:sz w:val="24"/>
    </w:rPr>
  </w:style>
  <w:style w:type="paragraph" w:styleId="Heading1">
    <w:name w:val="heading 1"/>
    <w:aliases w:val="Outline1"/>
    <w:basedOn w:val="Normal"/>
    <w:next w:val="Normal"/>
    <w:qFormat/>
    <w:pPr>
      <w:numPr>
        <w:numId w:val="1"/>
      </w:numPr>
      <w:outlineLvl w:val="0"/>
    </w:pPr>
    <w:rPr>
      <w:kern w:val="24"/>
    </w:rPr>
  </w:style>
  <w:style w:type="paragraph" w:styleId="Heading2">
    <w:name w:val="heading 2"/>
    <w:aliases w:val="Outline2"/>
    <w:basedOn w:val="Normal"/>
    <w:next w:val="Normal"/>
    <w:qFormat/>
    <w:pPr>
      <w:numPr>
        <w:ilvl w:val="1"/>
        <w:numId w:val="1"/>
      </w:numPr>
      <w:ind w:left="720"/>
      <w:outlineLvl w:val="1"/>
    </w:pPr>
    <w:rPr>
      <w:kern w:val="24"/>
    </w:rPr>
  </w:style>
  <w:style w:type="paragraph" w:styleId="Heading3">
    <w:name w:val="heading 3"/>
    <w:aliases w:val="Outline3"/>
    <w:basedOn w:val="Normal"/>
    <w:next w:val="Normal"/>
    <w:qFormat/>
    <w:pPr>
      <w:numPr>
        <w:ilvl w:val="2"/>
        <w:numId w:val="1"/>
      </w:numPr>
      <w:tabs>
        <w:tab w:val="num" w:pos="720"/>
      </w:tabs>
      <w:ind w:left="1440"/>
      <w:outlineLvl w:val="2"/>
    </w:pPr>
    <w:rPr>
      <w:kern w:val="24"/>
    </w:rPr>
  </w:style>
  <w:style w:type="paragraph" w:styleId="Heading4">
    <w:name w:val="heading 4"/>
    <w:basedOn w:val="Normal"/>
    <w:next w:val="Normal"/>
    <w:qFormat/>
    <w:pPr>
      <w:keepNext/>
      <w:jc w:val="center"/>
      <w:outlineLvl w:val="3"/>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pPr>
      <w:tabs>
        <w:tab w:val="clear" w:pos="720"/>
        <w:tab w:val="clear" w:pos="1440"/>
        <w:tab w:val="clear" w:pos="2160"/>
        <w:tab w:val="clear" w:pos="2880"/>
        <w:tab w:val="clear" w:pos="4680"/>
        <w:tab w:val="clear" w:pos="5400"/>
        <w:tab w:val="clear" w:pos="9000"/>
      </w:tabs>
      <w:spacing w:after="160" w:line="240" w:lineRule="exact"/>
    </w:pPr>
    <w:rPr>
      <w:rFonts w:ascii="Verdana" w:hAnsi="Verdana"/>
      <w:sz w:val="20"/>
      <w:lang w:val="en-US" w:eastAsia="en-US"/>
    </w:rPr>
  </w:style>
  <w:style w:type="paragraph" w:customStyle="1" w:styleId="BidBodyText">
    <w:name w:val="Bid Body Text"/>
    <w:basedOn w:val="Normal"/>
    <w:pPr>
      <w:tabs>
        <w:tab w:val="clear" w:pos="720"/>
        <w:tab w:val="clear" w:pos="1440"/>
        <w:tab w:val="clear" w:pos="2160"/>
        <w:tab w:val="clear" w:pos="2880"/>
        <w:tab w:val="clear" w:pos="4680"/>
        <w:tab w:val="clear" w:pos="5400"/>
        <w:tab w:val="clear" w:pos="9000"/>
        <w:tab w:val="left" w:pos="567"/>
        <w:tab w:val="left" w:pos="1701"/>
        <w:tab w:val="left" w:pos="2268"/>
      </w:tabs>
      <w:spacing w:after="240"/>
      <w:ind w:left="720"/>
      <w:jc w:val="both"/>
    </w:pPr>
    <w:rPr>
      <w:sz w:val="22"/>
      <w:szCs w:val="22"/>
    </w:rPr>
  </w:style>
  <w:style w:type="paragraph" w:customStyle="1" w:styleId="StyleHeading211ptAuto">
    <w:name w:val="Style Heading 2 + 11 pt Auto"/>
    <w:basedOn w:val="Heading2"/>
    <w:pPr>
      <w:keepNext/>
      <w:numPr>
        <w:ilvl w:val="0"/>
        <w:numId w:val="0"/>
      </w:numPr>
      <w:tabs>
        <w:tab w:val="clear" w:pos="720"/>
        <w:tab w:val="clear" w:pos="1440"/>
        <w:tab w:val="clear" w:pos="2160"/>
        <w:tab w:val="clear" w:pos="2880"/>
        <w:tab w:val="clear" w:pos="4680"/>
        <w:tab w:val="clear" w:pos="5400"/>
        <w:tab w:val="clear" w:pos="9000"/>
        <w:tab w:val="left" w:pos="544"/>
      </w:tabs>
      <w:overflowPunct w:val="0"/>
      <w:autoSpaceDE w:val="0"/>
      <w:autoSpaceDN w:val="0"/>
      <w:adjustRightInd w:val="0"/>
      <w:spacing w:after="240"/>
      <w:ind w:left="544" w:hanging="544"/>
      <w:textAlignment w:val="baseline"/>
    </w:pPr>
    <w:rPr>
      <w:b/>
      <w:bCs/>
      <w:kern w:val="0"/>
      <w:sz w:val="22"/>
    </w:rPr>
  </w:style>
  <w:style w:type="character" w:customStyle="1" w:styleId="StyleHeading211ptAutoChar">
    <w:name w:val="Style Heading 2 + 11 pt Auto Char"/>
    <w:rPr>
      <w:rFonts w:ascii="Arial" w:hAnsi="Arial"/>
      <w:b/>
      <w:bCs/>
      <w:noProof w:val="0"/>
      <w:sz w:val="22"/>
      <w:lang w:val="en-GB" w:eastAsia="en-GB" w:bidi="ar-SA"/>
    </w:rPr>
  </w:style>
  <w:style w:type="paragraph" w:customStyle="1" w:styleId="CharCharCharChar1CharCharCharCharCharChar2CharChar">
    <w:name w:val="Char Char Char Char1 Char Char Char Char Char Char2 Char Char"/>
    <w:basedOn w:val="Normal"/>
    <w:pPr>
      <w:tabs>
        <w:tab w:val="clear" w:pos="720"/>
        <w:tab w:val="clear" w:pos="1440"/>
        <w:tab w:val="clear" w:pos="2160"/>
        <w:tab w:val="clear" w:pos="2880"/>
        <w:tab w:val="clear" w:pos="4680"/>
        <w:tab w:val="clear" w:pos="5400"/>
        <w:tab w:val="clear" w:pos="9000"/>
      </w:tabs>
      <w:spacing w:after="160" w:line="240" w:lineRule="exact"/>
    </w:pPr>
    <w:rPr>
      <w:rFonts w:ascii="Verdana" w:hAnsi="Verdana"/>
      <w:sz w:val="20"/>
      <w:lang w:val="en-US" w:eastAsia="en-US"/>
    </w:rPr>
  </w:style>
  <w:style w:type="paragraph" w:customStyle="1" w:styleId="NumberedPara">
    <w:name w:val="Numbered Para"/>
    <w:basedOn w:val="Normal"/>
    <w:pPr>
      <w:widowControl w:val="0"/>
      <w:numPr>
        <w:numId w:val="3"/>
      </w:numPr>
      <w:tabs>
        <w:tab w:val="clear" w:pos="720"/>
        <w:tab w:val="clear" w:pos="1440"/>
        <w:tab w:val="clear" w:pos="2160"/>
        <w:tab w:val="clear" w:pos="2880"/>
        <w:tab w:val="clear" w:pos="4680"/>
        <w:tab w:val="clear" w:pos="5400"/>
        <w:tab w:val="clear" w:pos="9000"/>
      </w:tabs>
      <w:spacing w:before="120" w:after="120"/>
    </w:pPr>
    <w:rPr>
      <w:sz w:val="20"/>
      <w:lang w:eastAsia="en-US"/>
    </w:rPr>
  </w:style>
  <w:style w:type="paragraph" w:styleId="Footer">
    <w:name w:val="foot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noteText">
    <w:name w:val="footnote text"/>
    <w:basedOn w:val="Normal"/>
    <w:link w:val="FootnoteTextChar"/>
    <w:rsid w:val="006F0710"/>
    <w:rPr>
      <w:sz w:val="20"/>
    </w:rPr>
  </w:style>
  <w:style w:type="character" w:customStyle="1" w:styleId="FootnoteTextChar">
    <w:name w:val="Footnote Text Char"/>
    <w:basedOn w:val="DefaultParagraphFont"/>
    <w:link w:val="FootnoteText"/>
    <w:rsid w:val="006F0710"/>
    <w:rPr>
      <w:rFonts w:ascii="Arial" w:hAnsi="Arial"/>
    </w:rPr>
  </w:style>
  <w:style w:type="character" w:styleId="FootnoteReference">
    <w:name w:val="footnote reference"/>
    <w:basedOn w:val="DefaultParagraphFont"/>
    <w:rsid w:val="006F0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869">
      <w:bodyDiv w:val="1"/>
      <w:marLeft w:val="0"/>
      <w:marRight w:val="0"/>
      <w:marTop w:val="0"/>
      <w:marBottom w:val="0"/>
      <w:divBdr>
        <w:top w:val="none" w:sz="0" w:space="0" w:color="auto"/>
        <w:left w:val="none" w:sz="0" w:space="0" w:color="auto"/>
        <w:bottom w:val="none" w:sz="0" w:space="0" w:color="auto"/>
        <w:right w:val="none" w:sz="0" w:space="0" w:color="auto"/>
      </w:divBdr>
    </w:div>
    <w:div w:id="33384098">
      <w:bodyDiv w:val="1"/>
      <w:marLeft w:val="0"/>
      <w:marRight w:val="0"/>
      <w:marTop w:val="0"/>
      <w:marBottom w:val="0"/>
      <w:divBdr>
        <w:top w:val="none" w:sz="0" w:space="0" w:color="auto"/>
        <w:left w:val="none" w:sz="0" w:space="0" w:color="auto"/>
        <w:bottom w:val="none" w:sz="0" w:space="0" w:color="auto"/>
        <w:right w:val="none" w:sz="0" w:space="0" w:color="auto"/>
      </w:divBdr>
    </w:div>
    <w:div w:id="33777578">
      <w:bodyDiv w:val="1"/>
      <w:marLeft w:val="0"/>
      <w:marRight w:val="0"/>
      <w:marTop w:val="0"/>
      <w:marBottom w:val="0"/>
      <w:divBdr>
        <w:top w:val="none" w:sz="0" w:space="0" w:color="auto"/>
        <w:left w:val="none" w:sz="0" w:space="0" w:color="auto"/>
        <w:bottom w:val="none" w:sz="0" w:space="0" w:color="auto"/>
        <w:right w:val="none" w:sz="0" w:space="0" w:color="auto"/>
      </w:divBdr>
    </w:div>
    <w:div w:id="34550892">
      <w:bodyDiv w:val="1"/>
      <w:marLeft w:val="0"/>
      <w:marRight w:val="0"/>
      <w:marTop w:val="0"/>
      <w:marBottom w:val="0"/>
      <w:divBdr>
        <w:top w:val="none" w:sz="0" w:space="0" w:color="auto"/>
        <w:left w:val="none" w:sz="0" w:space="0" w:color="auto"/>
        <w:bottom w:val="none" w:sz="0" w:space="0" w:color="auto"/>
        <w:right w:val="none" w:sz="0" w:space="0" w:color="auto"/>
      </w:divBdr>
    </w:div>
    <w:div w:id="38945999">
      <w:bodyDiv w:val="1"/>
      <w:marLeft w:val="0"/>
      <w:marRight w:val="0"/>
      <w:marTop w:val="0"/>
      <w:marBottom w:val="0"/>
      <w:divBdr>
        <w:top w:val="none" w:sz="0" w:space="0" w:color="auto"/>
        <w:left w:val="none" w:sz="0" w:space="0" w:color="auto"/>
        <w:bottom w:val="none" w:sz="0" w:space="0" w:color="auto"/>
        <w:right w:val="none" w:sz="0" w:space="0" w:color="auto"/>
      </w:divBdr>
    </w:div>
    <w:div w:id="68504085">
      <w:bodyDiv w:val="1"/>
      <w:marLeft w:val="0"/>
      <w:marRight w:val="0"/>
      <w:marTop w:val="0"/>
      <w:marBottom w:val="0"/>
      <w:divBdr>
        <w:top w:val="none" w:sz="0" w:space="0" w:color="auto"/>
        <w:left w:val="none" w:sz="0" w:space="0" w:color="auto"/>
        <w:bottom w:val="none" w:sz="0" w:space="0" w:color="auto"/>
        <w:right w:val="none" w:sz="0" w:space="0" w:color="auto"/>
      </w:divBdr>
    </w:div>
    <w:div w:id="80417472">
      <w:bodyDiv w:val="1"/>
      <w:marLeft w:val="0"/>
      <w:marRight w:val="0"/>
      <w:marTop w:val="0"/>
      <w:marBottom w:val="0"/>
      <w:divBdr>
        <w:top w:val="none" w:sz="0" w:space="0" w:color="auto"/>
        <w:left w:val="none" w:sz="0" w:space="0" w:color="auto"/>
        <w:bottom w:val="none" w:sz="0" w:space="0" w:color="auto"/>
        <w:right w:val="none" w:sz="0" w:space="0" w:color="auto"/>
      </w:divBdr>
    </w:div>
    <w:div w:id="97065963">
      <w:bodyDiv w:val="1"/>
      <w:marLeft w:val="0"/>
      <w:marRight w:val="0"/>
      <w:marTop w:val="0"/>
      <w:marBottom w:val="0"/>
      <w:divBdr>
        <w:top w:val="none" w:sz="0" w:space="0" w:color="auto"/>
        <w:left w:val="none" w:sz="0" w:space="0" w:color="auto"/>
        <w:bottom w:val="none" w:sz="0" w:space="0" w:color="auto"/>
        <w:right w:val="none" w:sz="0" w:space="0" w:color="auto"/>
      </w:divBdr>
    </w:div>
    <w:div w:id="111637927">
      <w:bodyDiv w:val="1"/>
      <w:marLeft w:val="0"/>
      <w:marRight w:val="0"/>
      <w:marTop w:val="0"/>
      <w:marBottom w:val="0"/>
      <w:divBdr>
        <w:top w:val="none" w:sz="0" w:space="0" w:color="auto"/>
        <w:left w:val="none" w:sz="0" w:space="0" w:color="auto"/>
        <w:bottom w:val="none" w:sz="0" w:space="0" w:color="auto"/>
        <w:right w:val="none" w:sz="0" w:space="0" w:color="auto"/>
      </w:divBdr>
    </w:div>
    <w:div w:id="119690744">
      <w:bodyDiv w:val="1"/>
      <w:marLeft w:val="0"/>
      <w:marRight w:val="0"/>
      <w:marTop w:val="0"/>
      <w:marBottom w:val="0"/>
      <w:divBdr>
        <w:top w:val="none" w:sz="0" w:space="0" w:color="auto"/>
        <w:left w:val="none" w:sz="0" w:space="0" w:color="auto"/>
        <w:bottom w:val="none" w:sz="0" w:space="0" w:color="auto"/>
        <w:right w:val="none" w:sz="0" w:space="0" w:color="auto"/>
      </w:divBdr>
    </w:div>
    <w:div w:id="121000666">
      <w:bodyDiv w:val="1"/>
      <w:marLeft w:val="0"/>
      <w:marRight w:val="0"/>
      <w:marTop w:val="0"/>
      <w:marBottom w:val="0"/>
      <w:divBdr>
        <w:top w:val="none" w:sz="0" w:space="0" w:color="auto"/>
        <w:left w:val="none" w:sz="0" w:space="0" w:color="auto"/>
        <w:bottom w:val="none" w:sz="0" w:space="0" w:color="auto"/>
        <w:right w:val="none" w:sz="0" w:space="0" w:color="auto"/>
      </w:divBdr>
    </w:div>
    <w:div w:id="122845779">
      <w:bodyDiv w:val="1"/>
      <w:marLeft w:val="0"/>
      <w:marRight w:val="0"/>
      <w:marTop w:val="0"/>
      <w:marBottom w:val="0"/>
      <w:divBdr>
        <w:top w:val="none" w:sz="0" w:space="0" w:color="auto"/>
        <w:left w:val="none" w:sz="0" w:space="0" w:color="auto"/>
        <w:bottom w:val="none" w:sz="0" w:space="0" w:color="auto"/>
        <w:right w:val="none" w:sz="0" w:space="0" w:color="auto"/>
      </w:divBdr>
    </w:div>
    <w:div w:id="126515866">
      <w:bodyDiv w:val="1"/>
      <w:marLeft w:val="0"/>
      <w:marRight w:val="0"/>
      <w:marTop w:val="0"/>
      <w:marBottom w:val="0"/>
      <w:divBdr>
        <w:top w:val="none" w:sz="0" w:space="0" w:color="auto"/>
        <w:left w:val="none" w:sz="0" w:space="0" w:color="auto"/>
        <w:bottom w:val="none" w:sz="0" w:space="0" w:color="auto"/>
        <w:right w:val="none" w:sz="0" w:space="0" w:color="auto"/>
      </w:divBdr>
    </w:div>
    <w:div w:id="129058571">
      <w:bodyDiv w:val="1"/>
      <w:marLeft w:val="0"/>
      <w:marRight w:val="0"/>
      <w:marTop w:val="0"/>
      <w:marBottom w:val="0"/>
      <w:divBdr>
        <w:top w:val="none" w:sz="0" w:space="0" w:color="auto"/>
        <w:left w:val="none" w:sz="0" w:space="0" w:color="auto"/>
        <w:bottom w:val="none" w:sz="0" w:space="0" w:color="auto"/>
        <w:right w:val="none" w:sz="0" w:space="0" w:color="auto"/>
      </w:divBdr>
    </w:div>
    <w:div w:id="136609481">
      <w:bodyDiv w:val="1"/>
      <w:marLeft w:val="0"/>
      <w:marRight w:val="0"/>
      <w:marTop w:val="0"/>
      <w:marBottom w:val="0"/>
      <w:divBdr>
        <w:top w:val="none" w:sz="0" w:space="0" w:color="auto"/>
        <w:left w:val="none" w:sz="0" w:space="0" w:color="auto"/>
        <w:bottom w:val="none" w:sz="0" w:space="0" w:color="auto"/>
        <w:right w:val="none" w:sz="0" w:space="0" w:color="auto"/>
      </w:divBdr>
    </w:div>
    <w:div w:id="137000070">
      <w:bodyDiv w:val="1"/>
      <w:marLeft w:val="0"/>
      <w:marRight w:val="0"/>
      <w:marTop w:val="0"/>
      <w:marBottom w:val="0"/>
      <w:divBdr>
        <w:top w:val="none" w:sz="0" w:space="0" w:color="auto"/>
        <w:left w:val="none" w:sz="0" w:space="0" w:color="auto"/>
        <w:bottom w:val="none" w:sz="0" w:space="0" w:color="auto"/>
        <w:right w:val="none" w:sz="0" w:space="0" w:color="auto"/>
      </w:divBdr>
    </w:div>
    <w:div w:id="137310321">
      <w:bodyDiv w:val="1"/>
      <w:marLeft w:val="0"/>
      <w:marRight w:val="0"/>
      <w:marTop w:val="0"/>
      <w:marBottom w:val="0"/>
      <w:divBdr>
        <w:top w:val="none" w:sz="0" w:space="0" w:color="auto"/>
        <w:left w:val="none" w:sz="0" w:space="0" w:color="auto"/>
        <w:bottom w:val="none" w:sz="0" w:space="0" w:color="auto"/>
        <w:right w:val="none" w:sz="0" w:space="0" w:color="auto"/>
      </w:divBdr>
    </w:div>
    <w:div w:id="144516619">
      <w:bodyDiv w:val="1"/>
      <w:marLeft w:val="0"/>
      <w:marRight w:val="0"/>
      <w:marTop w:val="0"/>
      <w:marBottom w:val="0"/>
      <w:divBdr>
        <w:top w:val="none" w:sz="0" w:space="0" w:color="auto"/>
        <w:left w:val="none" w:sz="0" w:space="0" w:color="auto"/>
        <w:bottom w:val="none" w:sz="0" w:space="0" w:color="auto"/>
        <w:right w:val="none" w:sz="0" w:space="0" w:color="auto"/>
      </w:divBdr>
    </w:div>
    <w:div w:id="161549857">
      <w:bodyDiv w:val="1"/>
      <w:marLeft w:val="0"/>
      <w:marRight w:val="0"/>
      <w:marTop w:val="0"/>
      <w:marBottom w:val="0"/>
      <w:divBdr>
        <w:top w:val="none" w:sz="0" w:space="0" w:color="auto"/>
        <w:left w:val="none" w:sz="0" w:space="0" w:color="auto"/>
        <w:bottom w:val="none" w:sz="0" w:space="0" w:color="auto"/>
        <w:right w:val="none" w:sz="0" w:space="0" w:color="auto"/>
      </w:divBdr>
    </w:div>
    <w:div w:id="163204805">
      <w:bodyDiv w:val="1"/>
      <w:marLeft w:val="0"/>
      <w:marRight w:val="0"/>
      <w:marTop w:val="0"/>
      <w:marBottom w:val="0"/>
      <w:divBdr>
        <w:top w:val="none" w:sz="0" w:space="0" w:color="auto"/>
        <w:left w:val="none" w:sz="0" w:space="0" w:color="auto"/>
        <w:bottom w:val="none" w:sz="0" w:space="0" w:color="auto"/>
        <w:right w:val="none" w:sz="0" w:space="0" w:color="auto"/>
      </w:divBdr>
    </w:div>
    <w:div w:id="195898871">
      <w:bodyDiv w:val="1"/>
      <w:marLeft w:val="0"/>
      <w:marRight w:val="0"/>
      <w:marTop w:val="0"/>
      <w:marBottom w:val="0"/>
      <w:divBdr>
        <w:top w:val="none" w:sz="0" w:space="0" w:color="auto"/>
        <w:left w:val="none" w:sz="0" w:space="0" w:color="auto"/>
        <w:bottom w:val="none" w:sz="0" w:space="0" w:color="auto"/>
        <w:right w:val="none" w:sz="0" w:space="0" w:color="auto"/>
      </w:divBdr>
    </w:div>
    <w:div w:id="201214998">
      <w:bodyDiv w:val="1"/>
      <w:marLeft w:val="0"/>
      <w:marRight w:val="0"/>
      <w:marTop w:val="0"/>
      <w:marBottom w:val="0"/>
      <w:divBdr>
        <w:top w:val="none" w:sz="0" w:space="0" w:color="auto"/>
        <w:left w:val="none" w:sz="0" w:space="0" w:color="auto"/>
        <w:bottom w:val="none" w:sz="0" w:space="0" w:color="auto"/>
        <w:right w:val="none" w:sz="0" w:space="0" w:color="auto"/>
      </w:divBdr>
    </w:div>
    <w:div w:id="207845062">
      <w:bodyDiv w:val="1"/>
      <w:marLeft w:val="0"/>
      <w:marRight w:val="0"/>
      <w:marTop w:val="0"/>
      <w:marBottom w:val="0"/>
      <w:divBdr>
        <w:top w:val="none" w:sz="0" w:space="0" w:color="auto"/>
        <w:left w:val="none" w:sz="0" w:space="0" w:color="auto"/>
        <w:bottom w:val="none" w:sz="0" w:space="0" w:color="auto"/>
        <w:right w:val="none" w:sz="0" w:space="0" w:color="auto"/>
      </w:divBdr>
    </w:div>
    <w:div w:id="236483557">
      <w:bodyDiv w:val="1"/>
      <w:marLeft w:val="0"/>
      <w:marRight w:val="0"/>
      <w:marTop w:val="0"/>
      <w:marBottom w:val="0"/>
      <w:divBdr>
        <w:top w:val="none" w:sz="0" w:space="0" w:color="auto"/>
        <w:left w:val="none" w:sz="0" w:space="0" w:color="auto"/>
        <w:bottom w:val="none" w:sz="0" w:space="0" w:color="auto"/>
        <w:right w:val="none" w:sz="0" w:space="0" w:color="auto"/>
      </w:divBdr>
    </w:div>
    <w:div w:id="240454905">
      <w:bodyDiv w:val="1"/>
      <w:marLeft w:val="0"/>
      <w:marRight w:val="0"/>
      <w:marTop w:val="0"/>
      <w:marBottom w:val="0"/>
      <w:divBdr>
        <w:top w:val="none" w:sz="0" w:space="0" w:color="auto"/>
        <w:left w:val="none" w:sz="0" w:space="0" w:color="auto"/>
        <w:bottom w:val="none" w:sz="0" w:space="0" w:color="auto"/>
        <w:right w:val="none" w:sz="0" w:space="0" w:color="auto"/>
      </w:divBdr>
    </w:div>
    <w:div w:id="241716908">
      <w:bodyDiv w:val="1"/>
      <w:marLeft w:val="0"/>
      <w:marRight w:val="0"/>
      <w:marTop w:val="0"/>
      <w:marBottom w:val="0"/>
      <w:divBdr>
        <w:top w:val="none" w:sz="0" w:space="0" w:color="auto"/>
        <w:left w:val="none" w:sz="0" w:space="0" w:color="auto"/>
        <w:bottom w:val="none" w:sz="0" w:space="0" w:color="auto"/>
        <w:right w:val="none" w:sz="0" w:space="0" w:color="auto"/>
      </w:divBdr>
    </w:div>
    <w:div w:id="243805772">
      <w:bodyDiv w:val="1"/>
      <w:marLeft w:val="0"/>
      <w:marRight w:val="0"/>
      <w:marTop w:val="0"/>
      <w:marBottom w:val="0"/>
      <w:divBdr>
        <w:top w:val="none" w:sz="0" w:space="0" w:color="auto"/>
        <w:left w:val="none" w:sz="0" w:space="0" w:color="auto"/>
        <w:bottom w:val="none" w:sz="0" w:space="0" w:color="auto"/>
        <w:right w:val="none" w:sz="0" w:space="0" w:color="auto"/>
      </w:divBdr>
    </w:div>
    <w:div w:id="279188114">
      <w:bodyDiv w:val="1"/>
      <w:marLeft w:val="0"/>
      <w:marRight w:val="0"/>
      <w:marTop w:val="0"/>
      <w:marBottom w:val="0"/>
      <w:divBdr>
        <w:top w:val="none" w:sz="0" w:space="0" w:color="auto"/>
        <w:left w:val="none" w:sz="0" w:space="0" w:color="auto"/>
        <w:bottom w:val="none" w:sz="0" w:space="0" w:color="auto"/>
        <w:right w:val="none" w:sz="0" w:space="0" w:color="auto"/>
      </w:divBdr>
    </w:div>
    <w:div w:id="326516321">
      <w:bodyDiv w:val="1"/>
      <w:marLeft w:val="0"/>
      <w:marRight w:val="0"/>
      <w:marTop w:val="0"/>
      <w:marBottom w:val="0"/>
      <w:divBdr>
        <w:top w:val="none" w:sz="0" w:space="0" w:color="auto"/>
        <w:left w:val="none" w:sz="0" w:space="0" w:color="auto"/>
        <w:bottom w:val="none" w:sz="0" w:space="0" w:color="auto"/>
        <w:right w:val="none" w:sz="0" w:space="0" w:color="auto"/>
      </w:divBdr>
    </w:div>
    <w:div w:id="342517598">
      <w:bodyDiv w:val="1"/>
      <w:marLeft w:val="0"/>
      <w:marRight w:val="0"/>
      <w:marTop w:val="0"/>
      <w:marBottom w:val="0"/>
      <w:divBdr>
        <w:top w:val="none" w:sz="0" w:space="0" w:color="auto"/>
        <w:left w:val="none" w:sz="0" w:space="0" w:color="auto"/>
        <w:bottom w:val="none" w:sz="0" w:space="0" w:color="auto"/>
        <w:right w:val="none" w:sz="0" w:space="0" w:color="auto"/>
      </w:divBdr>
    </w:div>
    <w:div w:id="347409098">
      <w:bodyDiv w:val="1"/>
      <w:marLeft w:val="0"/>
      <w:marRight w:val="0"/>
      <w:marTop w:val="0"/>
      <w:marBottom w:val="0"/>
      <w:divBdr>
        <w:top w:val="none" w:sz="0" w:space="0" w:color="auto"/>
        <w:left w:val="none" w:sz="0" w:space="0" w:color="auto"/>
        <w:bottom w:val="none" w:sz="0" w:space="0" w:color="auto"/>
        <w:right w:val="none" w:sz="0" w:space="0" w:color="auto"/>
      </w:divBdr>
    </w:div>
    <w:div w:id="354696928">
      <w:bodyDiv w:val="1"/>
      <w:marLeft w:val="0"/>
      <w:marRight w:val="0"/>
      <w:marTop w:val="0"/>
      <w:marBottom w:val="0"/>
      <w:divBdr>
        <w:top w:val="none" w:sz="0" w:space="0" w:color="auto"/>
        <w:left w:val="none" w:sz="0" w:space="0" w:color="auto"/>
        <w:bottom w:val="none" w:sz="0" w:space="0" w:color="auto"/>
        <w:right w:val="none" w:sz="0" w:space="0" w:color="auto"/>
      </w:divBdr>
    </w:div>
    <w:div w:id="358629557">
      <w:bodyDiv w:val="1"/>
      <w:marLeft w:val="0"/>
      <w:marRight w:val="0"/>
      <w:marTop w:val="0"/>
      <w:marBottom w:val="0"/>
      <w:divBdr>
        <w:top w:val="none" w:sz="0" w:space="0" w:color="auto"/>
        <w:left w:val="none" w:sz="0" w:space="0" w:color="auto"/>
        <w:bottom w:val="none" w:sz="0" w:space="0" w:color="auto"/>
        <w:right w:val="none" w:sz="0" w:space="0" w:color="auto"/>
      </w:divBdr>
    </w:div>
    <w:div w:id="365063909">
      <w:bodyDiv w:val="1"/>
      <w:marLeft w:val="0"/>
      <w:marRight w:val="0"/>
      <w:marTop w:val="0"/>
      <w:marBottom w:val="0"/>
      <w:divBdr>
        <w:top w:val="none" w:sz="0" w:space="0" w:color="auto"/>
        <w:left w:val="none" w:sz="0" w:space="0" w:color="auto"/>
        <w:bottom w:val="none" w:sz="0" w:space="0" w:color="auto"/>
        <w:right w:val="none" w:sz="0" w:space="0" w:color="auto"/>
      </w:divBdr>
    </w:div>
    <w:div w:id="379213434">
      <w:bodyDiv w:val="1"/>
      <w:marLeft w:val="0"/>
      <w:marRight w:val="0"/>
      <w:marTop w:val="0"/>
      <w:marBottom w:val="0"/>
      <w:divBdr>
        <w:top w:val="none" w:sz="0" w:space="0" w:color="auto"/>
        <w:left w:val="none" w:sz="0" w:space="0" w:color="auto"/>
        <w:bottom w:val="none" w:sz="0" w:space="0" w:color="auto"/>
        <w:right w:val="none" w:sz="0" w:space="0" w:color="auto"/>
      </w:divBdr>
    </w:div>
    <w:div w:id="381944663">
      <w:bodyDiv w:val="1"/>
      <w:marLeft w:val="0"/>
      <w:marRight w:val="0"/>
      <w:marTop w:val="0"/>
      <w:marBottom w:val="0"/>
      <w:divBdr>
        <w:top w:val="none" w:sz="0" w:space="0" w:color="auto"/>
        <w:left w:val="none" w:sz="0" w:space="0" w:color="auto"/>
        <w:bottom w:val="none" w:sz="0" w:space="0" w:color="auto"/>
        <w:right w:val="none" w:sz="0" w:space="0" w:color="auto"/>
      </w:divBdr>
    </w:div>
    <w:div w:id="395394357">
      <w:bodyDiv w:val="1"/>
      <w:marLeft w:val="0"/>
      <w:marRight w:val="0"/>
      <w:marTop w:val="0"/>
      <w:marBottom w:val="0"/>
      <w:divBdr>
        <w:top w:val="none" w:sz="0" w:space="0" w:color="auto"/>
        <w:left w:val="none" w:sz="0" w:space="0" w:color="auto"/>
        <w:bottom w:val="none" w:sz="0" w:space="0" w:color="auto"/>
        <w:right w:val="none" w:sz="0" w:space="0" w:color="auto"/>
      </w:divBdr>
    </w:div>
    <w:div w:id="405954087">
      <w:bodyDiv w:val="1"/>
      <w:marLeft w:val="0"/>
      <w:marRight w:val="0"/>
      <w:marTop w:val="0"/>
      <w:marBottom w:val="0"/>
      <w:divBdr>
        <w:top w:val="none" w:sz="0" w:space="0" w:color="auto"/>
        <w:left w:val="none" w:sz="0" w:space="0" w:color="auto"/>
        <w:bottom w:val="none" w:sz="0" w:space="0" w:color="auto"/>
        <w:right w:val="none" w:sz="0" w:space="0" w:color="auto"/>
      </w:divBdr>
    </w:div>
    <w:div w:id="422266209">
      <w:bodyDiv w:val="1"/>
      <w:marLeft w:val="0"/>
      <w:marRight w:val="0"/>
      <w:marTop w:val="0"/>
      <w:marBottom w:val="0"/>
      <w:divBdr>
        <w:top w:val="none" w:sz="0" w:space="0" w:color="auto"/>
        <w:left w:val="none" w:sz="0" w:space="0" w:color="auto"/>
        <w:bottom w:val="none" w:sz="0" w:space="0" w:color="auto"/>
        <w:right w:val="none" w:sz="0" w:space="0" w:color="auto"/>
      </w:divBdr>
    </w:div>
    <w:div w:id="424378331">
      <w:bodyDiv w:val="1"/>
      <w:marLeft w:val="0"/>
      <w:marRight w:val="0"/>
      <w:marTop w:val="0"/>
      <w:marBottom w:val="0"/>
      <w:divBdr>
        <w:top w:val="none" w:sz="0" w:space="0" w:color="auto"/>
        <w:left w:val="none" w:sz="0" w:space="0" w:color="auto"/>
        <w:bottom w:val="none" w:sz="0" w:space="0" w:color="auto"/>
        <w:right w:val="none" w:sz="0" w:space="0" w:color="auto"/>
      </w:divBdr>
    </w:div>
    <w:div w:id="425543262">
      <w:bodyDiv w:val="1"/>
      <w:marLeft w:val="0"/>
      <w:marRight w:val="0"/>
      <w:marTop w:val="0"/>
      <w:marBottom w:val="0"/>
      <w:divBdr>
        <w:top w:val="none" w:sz="0" w:space="0" w:color="auto"/>
        <w:left w:val="none" w:sz="0" w:space="0" w:color="auto"/>
        <w:bottom w:val="none" w:sz="0" w:space="0" w:color="auto"/>
        <w:right w:val="none" w:sz="0" w:space="0" w:color="auto"/>
      </w:divBdr>
    </w:div>
    <w:div w:id="433986005">
      <w:bodyDiv w:val="1"/>
      <w:marLeft w:val="0"/>
      <w:marRight w:val="0"/>
      <w:marTop w:val="0"/>
      <w:marBottom w:val="0"/>
      <w:divBdr>
        <w:top w:val="none" w:sz="0" w:space="0" w:color="auto"/>
        <w:left w:val="none" w:sz="0" w:space="0" w:color="auto"/>
        <w:bottom w:val="none" w:sz="0" w:space="0" w:color="auto"/>
        <w:right w:val="none" w:sz="0" w:space="0" w:color="auto"/>
      </w:divBdr>
    </w:div>
    <w:div w:id="443841177">
      <w:bodyDiv w:val="1"/>
      <w:marLeft w:val="0"/>
      <w:marRight w:val="0"/>
      <w:marTop w:val="0"/>
      <w:marBottom w:val="0"/>
      <w:divBdr>
        <w:top w:val="none" w:sz="0" w:space="0" w:color="auto"/>
        <w:left w:val="none" w:sz="0" w:space="0" w:color="auto"/>
        <w:bottom w:val="none" w:sz="0" w:space="0" w:color="auto"/>
        <w:right w:val="none" w:sz="0" w:space="0" w:color="auto"/>
      </w:divBdr>
    </w:div>
    <w:div w:id="458307789">
      <w:bodyDiv w:val="1"/>
      <w:marLeft w:val="0"/>
      <w:marRight w:val="0"/>
      <w:marTop w:val="0"/>
      <w:marBottom w:val="0"/>
      <w:divBdr>
        <w:top w:val="none" w:sz="0" w:space="0" w:color="auto"/>
        <w:left w:val="none" w:sz="0" w:space="0" w:color="auto"/>
        <w:bottom w:val="none" w:sz="0" w:space="0" w:color="auto"/>
        <w:right w:val="none" w:sz="0" w:space="0" w:color="auto"/>
      </w:divBdr>
    </w:div>
    <w:div w:id="476184641">
      <w:bodyDiv w:val="1"/>
      <w:marLeft w:val="0"/>
      <w:marRight w:val="0"/>
      <w:marTop w:val="0"/>
      <w:marBottom w:val="0"/>
      <w:divBdr>
        <w:top w:val="none" w:sz="0" w:space="0" w:color="auto"/>
        <w:left w:val="none" w:sz="0" w:space="0" w:color="auto"/>
        <w:bottom w:val="none" w:sz="0" w:space="0" w:color="auto"/>
        <w:right w:val="none" w:sz="0" w:space="0" w:color="auto"/>
      </w:divBdr>
    </w:div>
    <w:div w:id="502087723">
      <w:bodyDiv w:val="1"/>
      <w:marLeft w:val="0"/>
      <w:marRight w:val="0"/>
      <w:marTop w:val="0"/>
      <w:marBottom w:val="0"/>
      <w:divBdr>
        <w:top w:val="none" w:sz="0" w:space="0" w:color="auto"/>
        <w:left w:val="none" w:sz="0" w:space="0" w:color="auto"/>
        <w:bottom w:val="none" w:sz="0" w:space="0" w:color="auto"/>
        <w:right w:val="none" w:sz="0" w:space="0" w:color="auto"/>
      </w:divBdr>
    </w:div>
    <w:div w:id="530076827">
      <w:bodyDiv w:val="1"/>
      <w:marLeft w:val="0"/>
      <w:marRight w:val="0"/>
      <w:marTop w:val="0"/>
      <w:marBottom w:val="0"/>
      <w:divBdr>
        <w:top w:val="none" w:sz="0" w:space="0" w:color="auto"/>
        <w:left w:val="none" w:sz="0" w:space="0" w:color="auto"/>
        <w:bottom w:val="none" w:sz="0" w:space="0" w:color="auto"/>
        <w:right w:val="none" w:sz="0" w:space="0" w:color="auto"/>
      </w:divBdr>
    </w:div>
    <w:div w:id="547106304">
      <w:bodyDiv w:val="1"/>
      <w:marLeft w:val="0"/>
      <w:marRight w:val="0"/>
      <w:marTop w:val="0"/>
      <w:marBottom w:val="0"/>
      <w:divBdr>
        <w:top w:val="none" w:sz="0" w:space="0" w:color="auto"/>
        <w:left w:val="none" w:sz="0" w:space="0" w:color="auto"/>
        <w:bottom w:val="none" w:sz="0" w:space="0" w:color="auto"/>
        <w:right w:val="none" w:sz="0" w:space="0" w:color="auto"/>
      </w:divBdr>
    </w:div>
    <w:div w:id="552929548">
      <w:bodyDiv w:val="1"/>
      <w:marLeft w:val="0"/>
      <w:marRight w:val="0"/>
      <w:marTop w:val="0"/>
      <w:marBottom w:val="0"/>
      <w:divBdr>
        <w:top w:val="none" w:sz="0" w:space="0" w:color="auto"/>
        <w:left w:val="none" w:sz="0" w:space="0" w:color="auto"/>
        <w:bottom w:val="none" w:sz="0" w:space="0" w:color="auto"/>
        <w:right w:val="none" w:sz="0" w:space="0" w:color="auto"/>
      </w:divBdr>
    </w:div>
    <w:div w:id="565994241">
      <w:bodyDiv w:val="1"/>
      <w:marLeft w:val="0"/>
      <w:marRight w:val="0"/>
      <w:marTop w:val="0"/>
      <w:marBottom w:val="0"/>
      <w:divBdr>
        <w:top w:val="none" w:sz="0" w:space="0" w:color="auto"/>
        <w:left w:val="none" w:sz="0" w:space="0" w:color="auto"/>
        <w:bottom w:val="none" w:sz="0" w:space="0" w:color="auto"/>
        <w:right w:val="none" w:sz="0" w:space="0" w:color="auto"/>
      </w:divBdr>
    </w:div>
    <w:div w:id="567151658">
      <w:bodyDiv w:val="1"/>
      <w:marLeft w:val="0"/>
      <w:marRight w:val="0"/>
      <w:marTop w:val="0"/>
      <w:marBottom w:val="0"/>
      <w:divBdr>
        <w:top w:val="none" w:sz="0" w:space="0" w:color="auto"/>
        <w:left w:val="none" w:sz="0" w:space="0" w:color="auto"/>
        <w:bottom w:val="none" w:sz="0" w:space="0" w:color="auto"/>
        <w:right w:val="none" w:sz="0" w:space="0" w:color="auto"/>
      </w:divBdr>
    </w:div>
    <w:div w:id="584999697">
      <w:bodyDiv w:val="1"/>
      <w:marLeft w:val="0"/>
      <w:marRight w:val="0"/>
      <w:marTop w:val="0"/>
      <w:marBottom w:val="0"/>
      <w:divBdr>
        <w:top w:val="none" w:sz="0" w:space="0" w:color="auto"/>
        <w:left w:val="none" w:sz="0" w:space="0" w:color="auto"/>
        <w:bottom w:val="none" w:sz="0" w:space="0" w:color="auto"/>
        <w:right w:val="none" w:sz="0" w:space="0" w:color="auto"/>
      </w:divBdr>
    </w:div>
    <w:div w:id="596601957">
      <w:bodyDiv w:val="1"/>
      <w:marLeft w:val="0"/>
      <w:marRight w:val="0"/>
      <w:marTop w:val="0"/>
      <w:marBottom w:val="0"/>
      <w:divBdr>
        <w:top w:val="none" w:sz="0" w:space="0" w:color="auto"/>
        <w:left w:val="none" w:sz="0" w:space="0" w:color="auto"/>
        <w:bottom w:val="none" w:sz="0" w:space="0" w:color="auto"/>
        <w:right w:val="none" w:sz="0" w:space="0" w:color="auto"/>
      </w:divBdr>
    </w:div>
    <w:div w:id="602887002">
      <w:bodyDiv w:val="1"/>
      <w:marLeft w:val="0"/>
      <w:marRight w:val="0"/>
      <w:marTop w:val="0"/>
      <w:marBottom w:val="0"/>
      <w:divBdr>
        <w:top w:val="none" w:sz="0" w:space="0" w:color="auto"/>
        <w:left w:val="none" w:sz="0" w:space="0" w:color="auto"/>
        <w:bottom w:val="none" w:sz="0" w:space="0" w:color="auto"/>
        <w:right w:val="none" w:sz="0" w:space="0" w:color="auto"/>
      </w:divBdr>
    </w:div>
    <w:div w:id="607584575">
      <w:bodyDiv w:val="1"/>
      <w:marLeft w:val="0"/>
      <w:marRight w:val="0"/>
      <w:marTop w:val="0"/>
      <w:marBottom w:val="0"/>
      <w:divBdr>
        <w:top w:val="none" w:sz="0" w:space="0" w:color="auto"/>
        <w:left w:val="none" w:sz="0" w:space="0" w:color="auto"/>
        <w:bottom w:val="none" w:sz="0" w:space="0" w:color="auto"/>
        <w:right w:val="none" w:sz="0" w:space="0" w:color="auto"/>
      </w:divBdr>
    </w:div>
    <w:div w:id="608246502">
      <w:bodyDiv w:val="1"/>
      <w:marLeft w:val="0"/>
      <w:marRight w:val="0"/>
      <w:marTop w:val="0"/>
      <w:marBottom w:val="0"/>
      <w:divBdr>
        <w:top w:val="none" w:sz="0" w:space="0" w:color="auto"/>
        <w:left w:val="none" w:sz="0" w:space="0" w:color="auto"/>
        <w:bottom w:val="none" w:sz="0" w:space="0" w:color="auto"/>
        <w:right w:val="none" w:sz="0" w:space="0" w:color="auto"/>
      </w:divBdr>
    </w:div>
    <w:div w:id="614480348">
      <w:bodyDiv w:val="1"/>
      <w:marLeft w:val="0"/>
      <w:marRight w:val="0"/>
      <w:marTop w:val="0"/>
      <w:marBottom w:val="0"/>
      <w:divBdr>
        <w:top w:val="none" w:sz="0" w:space="0" w:color="auto"/>
        <w:left w:val="none" w:sz="0" w:space="0" w:color="auto"/>
        <w:bottom w:val="none" w:sz="0" w:space="0" w:color="auto"/>
        <w:right w:val="none" w:sz="0" w:space="0" w:color="auto"/>
      </w:divBdr>
    </w:div>
    <w:div w:id="628588371">
      <w:bodyDiv w:val="1"/>
      <w:marLeft w:val="0"/>
      <w:marRight w:val="0"/>
      <w:marTop w:val="0"/>
      <w:marBottom w:val="0"/>
      <w:divBdr>
        <w:top w:val="none" w:sz="0" w:space="0" w:color="auto"/>
        <w:left w:val="none" w:sz="0" w:space="0" w:color="auto"/>
        <w:bottom w:val="none" w:sz="0" w:space="0" w:color="auto"/>
        <w:right w:val="none" w:sz="0" w:space="0" w:color="auto"/>
      </w:divBdr>
    </w:div>
    <w:div w:id="632061331">
      <w:bodyDiv w:val="1"/>
      <w:marLeft w:val="0"/>
      <w:marRight w:val="0"/>
      <w:marTop w:val="0"/>
      <w:marBottom w:val="0"/>
      <w:divBdr>
        <w:top w:val="none" w:sz="0" w:space="0" w:color="auto"/>
        <w:left w:val="none" w:sz="0" w:space="0" w:color="auto"/>
        <w:bottom w:val="none" w:sz="0" w:space="0" w:color="auto"/>
        <w:right w:val="none" w:sz="0" w:space="0" w:color="auto"/>
      </w:divBdr>
    </w:div>
    <w:div w:id="647633895">
      <w:bodyDiv w:val="1"/>
      <w:marLeft w:val="0"/>
      <w:marRight w:val="0"/>
      <w:marTop w:val="0"/>
      <w:marBottom w:val="0"/>
      <w:divBdr>
        <w:top w:val="none" w:sz="0" w:space="0" w:color="auto"/>
        <w:left w:val="none" w:sz="0" w:space="0" w:color="auto"/>
        <w:bottom w:val="none" w:sz="0" w:space="0" w:color="auto"/>
        <w:right w:val="none" w:sz="0" w:space="0" w:color="auto"/>
      </w:divBdr>
    </w:div>
    <w:div w:id="681246795">
      <w:bodyDiv w:val="1"/>
      <w:marLeft w:val="0"/>
      <w:marRight w:val="0"/>
      <w:marTop w:val="0"/>
      <w:marBottom w:val="0"/>
      <w:divBdr>
        <w:top w:val="none" w:sz="0" w:space="0" w:color="auto"/>
        <w:left w:val="none" w:sz="0" w:space="0" w:color="auto"/>
        <w:bottom w:val="none" w:sz="0" w:space="0" w:color="auto"/>
        <w:right w:val="none" w:sz="0" w:space="0" w:color="auto"/>
      </w:divBdr>
    </w:div>
    <w:div w:id="686637872">
      <w:bodyDiv w:val="1"/>
      <w:marLeft w:val="0"/>
      <w:marRight w:val="0"/>
      <w:marTop w:val="0"/>
      <w:marBottom w:val="0"/>
      <w:divBdr>
        <w:top w:val="none" w:sz="0" w:space="0" w:color="auto"/>
        <w:left w:val="none" w:sz="0" w:space="0" w:color="auto"/>
        <w:bottom w:val="none" w:sz="0" w:space="0" w:color="auto"/>
        <w:right w:val="none" w:sz="0" w:space="0" w:color="auto"/>
      </w:divBdr>
    </w:div>
    <w:div w:id="698624532">
      <w:bodyDiv w:val="1"/>
      <w:marLeft w:val="0"/>
      <w:marRight w:val="0"/>
      <w:marTop w:val="0"/>
      <w:marBottom w:val="0"/>
      <w:divBdr>
        <w:top w:val="none" w:sz="0" w:space="0" w:color="auto"/>
        <w:left w:val="none" w:sz="0" w:space="0" w:color="auto"/>
        <w:bottom w:val="none" w:sz="0" w:space="0" w:color="auto"/>
        <w:right w:val="none" w:sz="0" w:space="0" w:color="auto"/>
      </w:divBdr>
    </w:div>
    <w:div w:id="720321301">
      <w:bodyDiv w:val="1"/>
      <w:marLeft w:val="0"/>
      <w:marRight w:val="0"/>
      <w:marTop w:val="0"/>
      <w:marBottom w:val="0"/>
      <w:divBdr>
        <w:top w:val="none" w:sz="0" w:space="0" w:color="auto"/>
        <w:left w:val="none" w:sz="0" w:space="0" w:color="auto"/>
        <w:bottom w:val="none" w:sz="0" w:space="0" w:color="auto"/>
        <w:right w:val="none" w:sz="0" w:space="0" w:color="auto"/>
      </w:divBdr>
    </w:div>
    <w:div w:id="746728306">
      <w:bodyDiv w:val="1"/>
      <w:marLeft w:val="0"/>
      <w:marRight w:val="0"/>
      <w:marTop w:val="0"/>
      <w:marBottom w:val="0"/>
      <w:divBdr>
        <w:top w:val="none" w:sz="0" w:space="0" w:color="auto"/>
        <w:left w:val="none" w:sz="0" w:space="0" w:color="auto"/>
        <w:bottom w:val="none" w:sz="0" w:space="0" w:color="auto"/>
        <w:right w:val="none" w:sz="0" w:space="0" w:color="auto"/>
      </w:divBdr>
    </w:div>
    <w:div w:id="764034384">
      <w:bodyDiv w:val="1"/>
      <w:marLeft w:val="0"/>
      <w:marRight w:val="0"/>
      <w:marTop w:val="0"/>
      <w:marBottom w:val="0"/>
      <w:divBdr>
        <w:top w:val="none" w:sz="0" w:space="0" w:color="auto"/>
        <w:left w:val="none" w:sz="0" w:space="0" w:color="auto"/>
        <w:bottom w:val="none" w:sz="0" w:space="0" w:color="auto"/>
        <w:right w:val="none" w:sz="0" w:space="0" w:color="auto"/>
      </w:divBdr>
    </w:div>
    <w:div w:id="777139961">
      <w:bodyDiv w:val="1"/>
      <w:marLeft w:val="0"/>
      <w:marRight w:val="0"/>
      <w:marTop w:val="0"/>
      <w:marBottom w:val="0"/>
      <w:divBdr>
        <w:top w:val="none" w:sz="0" w:space="0" w:color="auto"/>
        <w:left w:val="none" w:sz="0" w:space="0" w:color="auto"/>
        <w:bottom w:val="none" w:sz="0" w:space="0" w:color="auto"/>
        <w:right w:val="none" w:sz="0" w:space="0" w:color="auto"/>
      </w:divBdr>
    </w:div>
    <w:div w:id="803691663">
      <w:bodyDiv w:val="1"/>
      <w:marLeft w:val="0"/>
      <w:marRight w:val="0"/>
      <w:marTop w:val="0"/>
      <w:marBottom w:val="0"/>
      <w:divBdr>
        <w:top w:val="none" w:sz="0" w:space="0" w:color="auto"/>
        <w:left w:val="none" w:sz="0" w:space="0" w:color="auto"/>
        <w:bottom w:val="none" w:sz="0" w:space="0" w:color="auto"/>
        <w:right w:val="none" w:sz="0" w:space="0" w:color="auto"/>
      </w:divBdr>
    </w:div>
    <w:div w:id="831481101">
      <w:bodyDiv w:val="1"/>
      <w:marLeft w:val="0"/>
      <w:marRight w:val="0"/>
      <w:marTop w:val="0"/>
      <w:marBottom w:val="0"/>
      <w:divBdr>
        <w:top w:val="none" w:sz="0" w:space="0" w:color="auto"/>
        <w:left w:val="none" w:sz="0" w:space="0" w:color="auto"/>
        <w:bottom w:val="none" w:sz="0" w:space="0" w:color="auto"/>
        <w:right w:val="none" w:sz="0" w:space="0" w:color="auto"/>
      </w:divBdr>
    </w:div>
    <w:div w:id="849951195">
      <w:bodyDiv w:val="1"/>
      <w:marLeft w:val="0"/>
      <w:marRight w:val="0"/>
      <w:marTop w:val="0"/>
      <w:marBottom w:val="0"/>
      <w:divBdr>
        <w:top w:val="none" w:sz="0" w:space="0" w:color="auto"/>
        <w:left w:val="none" w:sz="0" w:space="0" w:color="auto"/>
        <w:bottom w:val="none" w:sz="0" w:space="0" w:color="auto"/>
        <w:right w:val="none" w:sz="0" w:space="0" w:color="auto"/>
      </w:divBdr>
    </w:div>
    <w:div w:id="853614896">
      <w:bodyDiv w:val="1"/>
      <w:marLeft w:val="0"/>
      <w:marRight w:val="0"/>
      <w:marTop w:val="0"/>
      <w:marBottom w:val="0"/>
      <w:divBdr>
        <w:top w:val="none" w:sz="0" w:space="0" w:color="auto"/>
        <w:left w:val="none" w:sz="0" w:space="0" w:color="auto"/>
        <w:bottom w:val="none" w:sz="0" w:space="0" w:color="auto"/>
        <w:right w:val="none" w:sz="0" w:space="0" w:color="auto"/>
      </w:divBdr>
    </w:div>
    <w:div w:id="862013779">
      <w:bodyDiv w:val="1"/>
      <w:marLeft w:val="0"/>
      <w:marRight w:val="0"/>
      <w:marTop w:val="0"/>
      <w:marBottom w:val="0"/>
      <w:divBdr>
        <w:top w:val="none" w:sz="0" w:space="0" w:color="auto"/>
        <w:left w:val="none" w:sz="0" w:space="0" w:color="auto"/>
        <w:bottom w:val="none" w:sz="0" w:space="0" w:color="auto"/>
        <w:right w:val="none" w:sz="0" w:space="0" w:color="auto"/>
      </w:divBdr>
    </w:div>
    <w:div w:id="876235044">
      <w:bodyDiv w:val="1"/>
      <w:marLeft w:val="0"/>
      <w:marRight w:val="0"/>
      <w:marTop w:val="0"/>
      <w:marBottom w:val="0"/>
      <w:divBdr>
        <w:top w:val="none" w:sz="0" w:space="0" w:color="auto"/>
        <w:left w:val="none" w:sz="0" w:space="0" w:color="auto"/>
        <w:bottom w:val="none" w:sz="0" w:space="0" w:color="auto"/>
        <w:right w:val="none" w:sz="0" w:space="0" w:color="auto"/>
      </w:divBdr>
    </w:div>
    <w:div w:id="892351244">
      <w:bodyDiv w:val="1"/>
      <w:marLeft w:val="0"/>
      <w:marRight w:val="0"/>
      <w:marTop w:val="0"/>
      <w:marBottom w:val="0"/>
      <w:divBdr>
        <w:top w:val="none" w:sz="0" w:space="0" w:color="auto"/>
        <w:left w:val="none" w:sz="0" w:space="0" w:color="auto"/>
        <w:bottom w:val="none" w:sz="0" w:space="0" w:color="auto"/>
        <w:right w:val="none" w:sz="0" w:space="0" w:color="auto"/>
      </w:divBdr>
    </w:div>
    <w:div w:id="901602334">
      <w:bodyDiv w:val="1"/>
      <w:marLeft w:val="0"/>
      <w:marRight w:val="0"/>
      <w:marTop w:val="0"/>
      <w:marBottom w:val="0"/>
      <w:divBdr>
        <w:top w:val="none" w:sz="0" w:space="0" w:color="auto"/>
        <w:left w:val="none" w:sz="0" w:space="0" w:color="auto"/>
        <w:bottom w:val="none" w:sz="0" w:space="0" w:color="auto"/>
        <w:right w:val="none" w:sz="0" w:space="0" w:color="auto"/>
      </w:divBdr>
    </w:div>
    <w:div w:id="909079935">
      <w:bodyDiv w:val="1"/>
      <w:marLeft w:val="0"/>
      <w:marRight w:val="0"/>
      <w:marTop w:val="0"/>
      <w:marBottom w:val="0"/>
      <w:divBdr>
        <w:top w:val="none" w:sz="0" w:space="0" w:color="auto"/>
        <w:left w:val="none" w:sz="0" w:space="0" w:color="auto"/>
        <w:bottom w:val="none" w:sz="0" w:space="0" w:color="auto"/>
        <w:right w:val="none" w:sz="0" w:space="0" w:color="auto"/>
      </w:divBdr>
    </w:div>
    <w:div w:id="910386998">
      <w:bodyDiv w:val="1"/>
      <w:marLeft w:val="0"/>
      <w:marRight w:val="0"/>
      <w:marTop w:val="0"/>
      <w:marBottom w:val="0"/>
      <w:divBdr>
        <w:top w:val="none" w:sz="0" w:space="0" w:color="auto"/>
        <w:left w:val="none" w:sz="0" w:space="0" w:color="auto"/>
        <w:bottom w:val="none" w:sz="0" w:space="0" w:color="auto"/>
        <w:right w:val="none" w:sz="0" w:space="0" w:color="auto"/>
      </w:divBdr>
    </w:div>
    <w:div w:id="956957491">
      <w:bodyDiv w:val="1"/>
      <w:marLeft w:val="0"/>
      <w:marRight w:val="0"/>
      <w:marTop w:val="0"/>
      <w:marBottom w:val="0"/>
      <w:divBdr>
        <w:top w:val="none" w:sz="0" w:space="0" w:color="auto"/>
        <w:left w:val="none" w:sz="0" w:space="0" w:color="auto"/>
        <w:bottom w:val="none" w:sz="0" w:space="0" w:color="auto"/>
        <w:right w:val="none" w:sz="0" w:space="0" w:color="auto"/>
      </w:divBdr>
    </w:div>
    <w:div w:id="986012779">
      <w:bodyDiv w:val="1"/>
      <w:marLeft w:val="0"/>
      <w:marRight w:val="0"/>
      <w:marTop w:val="0"/>
      <w:marBottom w:val="0"/>
      <w:divBdr>
        <w:top w:val="none" w:sz="0" w:space="0" w:color="auto"/>
        <w:left w:val="none" w:sz="0" w:space="0" w:color="auto"/>
        <w:bottom w:val="none" w:sz="0" w:space="0" w:color="auto"/>
        <w:right w:val="none" w:sz="0" w:space="0" w:color="auto"/>
      </w:divBdr>
    </w:div>
    <w:div w:id="993414826">
      <w:bodyDiv w:val="1"/>
      <w:marLeft w:val="0"/>
      <w:marRight w:val="0"/>
      <w:marTop w:val="0"/>
      <w:marBottom w:val="0"/>
      <w:divBdr>
        <w:top w:val="none" w:sz="0" w:space="0" w:color="auto"/>
        <w:left w:val="none" w:sz="0" w:space="0" w:color="auto"/>
        <w:bottom w:val="none" w:sz="0" w:space="0" w:color="auto"/>
        <w:right w:val="none" w:sz="0" w:space="0" w:color="auto"/>
      </w:divBdr>
    </w:div>
    <w:div w:id="1001783473">
      <w:bodyDiv w:val="1"/>
      <w:marLeft w:val="0"/>
      <w:marRight w:val="0"/>
      <w:marTop w:val="0"/>
      <w:marBottom w:val="0"/>
      <w:divBdr>
        <w:top w:val="none" w:sz="0" w:space="0" w:color="auto"/>
        <w:left w:val="none" w:sz="0" w:space="0" w:color="auto"/>
        <w:bottom w:val="none" w:sz="0" w:space="0" w:color="auto"/>
        <w:right w:val="none" w:sz="0" w:space="0" w:color="auto"/>
      </w:divBdr>
    </w:div>
    <w:div w:id="1007290442">
      <w:bodyDiv w:val="1"/>
      <w:marLeft w:val="0"/>
      <w:marRight w:val="0"/>
      <w:marTop w:val="0"/>
      <w:marBottom w:val="0"/>
      <w:divBdr>
        <w:top w:val="none" w:sz="0" w:space="0" w:color="auto"/>
        <w:left w:val="none" w:sz="0" w:space="0" w:color="auto"/>
        <w:bottom w:val="none" w:sz="0" w:space="0" w:color="auto"/>
        <w:right w:val="none" w:sz="0" w:space="0" w:color="auto"/>
      </w:divBdr>
    </w:div>
    <w:div w:id="1017776841">
      <w:bodyDiv w:val="1"/>
      <w:marLeft w:val="0"/>
      <w:marRight w:val="0"/>
      <w:marTop w:val="0"/>
      <w:marBottom w:val="0"/>
      <w:divBdr>
        <w:top w:val="none" w:sz="0" w:space="0" w:color="auto"/>
        <w:left w:val="none" w:sz="0" w:space="0" w:color="auto"/>
        <w:bottom w:val="none" w:sz="0" w:space="0" w:color="auto"/>
        <w:right w:val="none" w:sz="0" w:space="0" w:color="auto"/>
      </w:divBdr>
    </w:div>
    <w:div w:id="1027831807">
      <w:bodyDiv w:val="1"/>
      <w:marLeft w:val="0"/>
      <w:marRight w:val="0"/>
      <w:marTop w:val="0"/>
      <w:marBottom w:val="0"/>
      <w:divBdr>
        <w:top w:val="none" w:sz="0" w:space="0" w:color="auto"/>
        <w:left w:val="none" w:sz="0" w:space="0" w:color="auto"/>
        <w:bottom w:val="none" w:sz="0" w:space="0" w:color="auto"/>
        <w:right w:val="none" w:sz="0" w:space="0" w:color="auto"/>
      </w:divBdr>
    </w:div>
    <w:div w:id="1028065676">
      <w:bodyDiv w:val="1"/>
      <w:marLeft w:val="0"/>
      <w:marRight w:val="0"/>
      <w:marTop w:val="0"/>
      <w:marBottom w:val="0"/>
      <w:divBdr>
        <w:top w:val="none" w:sz="0" w:space="0" w:color="auto"/>
        <w:left w:val="none" w:sz="0" w:space="0" w:color="auto"/>
        <w:bottom w:val="none" w:sz="0" w:space="0" w:color="auto"/>
        <w:right w:val="none" w:sz="0" w:space="0" w:color="auto"/>
      </w:divBdr>
    </w:div>
    <w:div w:id="1033312465">
      <w:bodyDiv w:val="1"/>
      <w:marLeft w:val="0"/>
      <w:marRight w:val="0"/>
      <w:marTop w:val="0"/>
      <w:marBottom w:val="0"/>
      <w:divBdr>
        <w:top w:val="none" w:sz="0" w:space="0" w:color="auto"/>
        <w:left w:val="none" w:sz="0" w:space="0" w:color="auto"/>
        <w:bottom w:val="none" w:sz="0" w:space="0" w:color="auto"/>
        <w:right w:val="none" w:sz="0" w:space="0" w:color="auto"/>
      </w:divBdr>
    </w:div>
    <w:div w:id="1035884838">
      <w:bodyDiv w:val="1"/>
      <w:marLeft w:val="0"/>
      <w:marRight w:val="0"/>
      <w:marTop w:val="0"/>
      <w:marBottom w:val="0"/>
      <w:divBdr>
        <w:top w:val="none" w:sz="0" w:space="0" w:color="auto"/>
        <w:left w:val="none" w:sz="0" w:space="0" w:color="auto"/>
        <w:bottom w:val="none" w:sz="0" w:space="0" w:color="auto"/>
        <w:right w:val="none" w:sz="0" w:space="0" w:color="auto"/>
      </w:divBdr>
    </w:div>
    <w:div w:id="1036197293">
      <w:bodyDiv w:val="1"/>
      <w:marLeft w:val="0"/>
      <w:marRight w:val="0"/>
      <w:marTop w:val="0"/>
      <w:marBottom w:val="0"/>
      <w:divBdr>
        <w:top w:val="none" w:sz="0" w:space="0" w:color="auto"/>
        <w:left w:val="none" w:sz="0" w:space="0" w:color="auto"/>
        <w:bottom w:val="none" w:sz="0" w:space="0" w:color="auto"/>
        <w:right w:val="none" w:sz="0" w:space="0" w:color="auto"/>
      </w:divBdr>
    </w:div>
    <w:div w:id="1040323951">
      <w:bodyDiv w:val="1"/>
      <w:marLeft w:val="0"/>
      <w:marRight w:val="0"/>
      <w:marTop w:val="0"/>
      <w:marBottom w:val="0"/>
      <w:divBdr>
        <w:top w:val="none" w:sz="0" w:space="0" w:color="auto"/>
        <w:left w:val="none" w:sz="0" w:space="0" w:color="auto"/>
        <w:bottom w:val="none" w:sz="0" w:space="0" w:color="auto"/>
        <w:right w:val="none" w:sz="0" w:space="0" w:color="auto"/>
      </w:divBdr>
    </w:div>
    <w:div w:id="1041399423">
      <w:bodyDiv w:val="1"/>
      <w:marLeft w:val="0"/>
      <w:marRight w:val="0"/>
      <w:marTop w:val="0"/>
      <w:marBottom w:val="0"/>
      <w:divBdr>
        <w:top w:val="none" w:sz="0" w:space="0" w:color="auto"/>
        <w:left w:val="none" w:sz="0" w:space="0" w:color="auto"/>
        <w:bottom w:val="none" w:sz="0" w:space="0" w:color="auto"/>
        <w:right w:val="none" w:sz="0" w:space="0" w:color="auto"/>
      </w:divBdr>
    </w:div>
    <w:div w:id="1042902511">
      <w:bodyDiv w:val="1"/>
      <w:marLeft w:val="0"/>
      <w:marRight w:val="0"/>
      <w:marTop w:val="0"/>
      <w:marBottom w:val="0"/>
      <w:divBdr>
        <w:top w:val="none" w:sz="0" w:space="0" w:color="auto"/>
        <w:left w:val="none" w:sz="0" w:space="0" w:color="auto"/>
        <w:bottom w:val="none" w:sz="0" w:space="0" w:color="auto"/>
        <w:right w:val="none" w:sz="0" w:space="0" w:color="auto"/>
      </w:divBdr>
    </w:div>
    <w:div w:id="1072893994">
      <w:bodyDiv w:val="1"/>
      <w:marLeft w:val="0"/>
      <w:marRight w:val="0"/>
      <w:marTop w:val="0"/>
      <w:marBottom w:val="0"/>
      <w:divBdr>
        <w:top w:val="none" w:sz="0" w:space="0" w:color="auto"/>
        <w:left w:val="none" w:sz="0" w:space="0" w:color="auto"/>
        <w:bottom w:val="none" w:sz="0" w:space="0" w:color="auto"/>
        <w:right w:val="none" w:sz="0" w:space="0" w:color="auto"/>
      </w:divBdr>
    </w:div>
    <w:div w:id="1077939994">
      <w:bodyDiv w:val="1"/>
      <w:marLeft w:val="0"/>
      <w:marRight w:val="0"/>
      <w:marTop w:val="0"/>
      <w:marBottom w:val="0"/>
      <w:divBdr>
        <w:top w:val="none" w:sz="0" w:space="0" w:color="auto"/>
        <w:left w:val="none" w:sz="0" w:space="0" w:color="auto"/>
        <w:bottom w:val="none" w:sz="0" w:space="0" w:color="auto"/>
        <w:right w:val="none" w:sz="0" w:space="0" w:color="auto"/>
      </w:divBdr>
    </w:div>
    <w:div w:id="1078747728">
      <w:bodyDiv w:val="1"/>
      <w:marLeft w:val="0"/>
      <w:marRight w:val="0"/>
      <w:marTop w:val="0"/>
      <w:marBottom w:val="0"/>
      <w:divBdr>
        <w:top w:val="none" w:sz="0" w:space="0" w:color="auto"/>
        <w:left w:val="none" w:sz="0" w:space="0" w:color="auto"/>
        <w:bottom w:val="none" w:sz="0" w:space="0" w:color="auto"/>
        <w:right w:val="none" w:sz="0" w:space="0" w:color="auto"/>
      </w:divBdr>
    </w:div>
    <w:div w:id="1089884619">
      <w:bodyDiv w:val="1"/>
      <w:marLeft w:val="0"/>
      <w:marRight w:val="0"/>
      <w:marTop w:val="0"/>
      <w:marBottom w:val="0"/>
      <w:divBdr>
        <w:top w:val="none" w:sz="0" w:space="0" w:color="auto"/>
        <w:left w:val="none" w:sz="0" w:space="0" w:color="auto"/>
        <w:bottom w:val="none" w:sz="0" w:space="0" w:color="auto"/>
        <w:right w:val="none" w:sz="0" w:space="0" w:color="auto"/>
      </w:divBdr>
    </w:div>
    <w:div w:id="1096361274">
      <w:bodyDiv w:val="1"/>
      <w:marLeft w:val="0"/>
      <w:marRight w:val="0"/>
      <w:marTop w:val="0"/>
      <w:marBottom w:val="0"/>
      <w:divBdr>
        <w:top w:val="none" w:sz="0" w:space="0" w:color="auto"/>
        <w:left w:val="none" w:sz="0" w:space="0" w:color="auto"/>
        <w:bottom w:val="none" w:sz="0" w:space="0" w:color="auto"/>
        <w:right w:val="none" w:sz="0" w:space="0" w:color="auto"/>
      </w:divBdr>
    </w:div>
    <w:div w:id="1102606876">
      <w:bodyDiv w:val="1"/>
      <w:marLeft w:val="0"/>
      <w:marRight w:val="0"/>
      <w:marTop w:val="0"/>
      <w:marBottom w:val="0"/>
      <w:divBdr>
        <w:top w:val="none" w:sz="0" w:space="0" w:color="auto"/>
        <w:left w:val="none" w:sz="0" w:space="0" w:color="auto"/>
        <w:bottom w:val="none" w:sz="0" w:space="0" w:color="auto"/>
        <w:right w:val="none" w:sz="0" w:space="0" w:color="auto"/>
      </w:divBdr>
    </w:div>
    <w:div w:id="1111701635">
      <w:bodyDiv w:val="1"/>
      <w:marLeft w:val="0"/>
      <w:marRight w:val="0"/>
      <w:marTop w:val="0"/>
      <w:marBottom w:val="0"/>
      <w:divBdr>
        <w:top w:val="none" w:sz="0" w:space="0" w:color="auto"/>
        <w:left w:val="none" w:sz="0" w:space="0" w:color="auto"/>
        <w:bottom w:val="none" w:sz="0" w:space="0" w:color="auto"/>
        <w:right w:val="none" w:sz="0" w:space="0" w:color="auto"/>
      </w:divBdr>
    </w:div>
    <w:div w:id="1146968903">
      <w:bodyDiv w:val="1"/>
      <w:marLeft w:val="0"/>
      <w:marRight w:val="0"/>
      <w:marTop w:val="0"/>
      <w:marBottom w:val="0"/>
      <w:divBdr>
        <w:top w:val="none" w:sz="0" w:space="0" w:color="auto"/>
        <w:left w:val="none" w:sz="0" w:space="0" w:color="auto"/>
        <w:bottom w:val="none" w:sz="0" w:space="0" w:color="auto"/>
        <w:right w:val="none" w:sz="0" w:space="0" w:color="auto"/>
      </w:divBdr>
    </w:div>
    <w:div w:id="1148471428">
      <w:bodyDiv w:val="1"/>
      <w:marLeft w:val="0"/>
      <w:marRight w:val="0"/>
      <w:marTop w:val="0"/>
      <w:marBottom w:val="0"/>
      <w:divBdr>
        <w:top w:val="none" w:sz="0" w:space="0" w:color="auto"/>
        <w:left w:val="none" w:sz="0" w:space="0" w:color="auto"/>
        <w:bottom w:val="none" w:sz="0" w:space="0" w:color="auto"/>
        <w:right w:val="none" w:sz="0" w:space="0" w:color="auto"/>
      </w:divBdr>
    </w:div>
    <w:div w:id="1165896793">
      <w:bodyDiv w:val="1"/>
      <w:marLeft w:val="0"/>
      <w:marRight w:val="0"/>
      <w:marTop w:val="0"/>
      <w:marBottom w:val="0"/>
      <w:divBdr>
        <w:top w:val="none" w:sz="0" w:space="0" w:color="auto"/>
        <w:left w:val="none" w:sz="0" w:space="0" w:color="auto"/>
        <w:bottom w:val="none" w:sz="0" w:space="0" w:color="auto"/>
        <w:right w:val="none" w:sz="0" w:space="0" w:color="auto"/>
      </w:divBdr>
    </w:div>
    <w:div w:id="1169636249">
      <w:bodyDiv w:val="1"/>
      <w:marLeft w:val="0"/>
      <w:marRight w:val="0"/>
      <w:marTop w:val="0"/>
      <w:marBottom w:val="0"/>
      <w:divBdr>
        <w:top w:val="none" w:sz="0" w:space="0" w:color="auto"/>
        <w:left w:val="none" w:sz="0" w:space="0" w:color="auto"/>
        <w:bottom w:val="none" w:sz="0" w:space="0" w:color="auto"/>
        <w:right w:val="none" w:sz="0" w:space="0" w:color="auto"/>
      </w:divBdr>
    </w:div>
    <w:div w:id="1182545569">
      <w:bodyDiv w:val="1"/>
      <w:marLeft w:val="0"/>
      <w:marRight w:val="0"/>
      <w:marTop w:val="0"/>
      <w:marBottom w:val="0"/>
      <w:divBdr>
        <w:top w:val="none" w:sz="0" w:space="0" w:color="auto"/>
        <w:left w:val="none" w:sz="0" w:space="0" w:color="auto"/>
        <w:bottom w:val="none" w:sz="0" w:space="0" w:color="auto"/>
        <w:right w:val="none" w:sz="0" w:space="0" w:color="auto"/>
      </w:divBdr>
    </w:div>
    <w:div w:id="1192650719">
      <w:bodyDiv w:val="1"/>
      <w:marLeft w:val="0"/>
      <w:marRight w:val="0"/>
      <w:marTop w:val="0"/>
      <w:marBottom w:val="0"/>
      <w:divBdr>
        <w:top w:val="none" w:sz="0" w:space="0" w:color="auto"/>
        <w:left w:val="none" w:sz="0" w:space="0" w:color="auto"/>
        <w:bottom w:val="none" w:sz="0" w:space="0" w:color="auto"/>
        <w:right w:val="none" w:sz="0" w:space="0" w:color="auto"/>
      </w:divBdr>
    </w:div>
    <w:div w:id="1196307114">
      <w:bodyDiv w:val="1"/>
      <w:marLeft w:val="0"/>
      <w:marRight w:val="0"/>
      <w:marTop w:val="0"/>
      <w:marBottom w:val="0"/>
      <w:divBdr>
        <w:top w:val="none" w:sz="0" w:space="0" w:color="auto"/>
        <w:left w:val="none" w:sz="0" w:space="0" w:color="auto"/>
        <w:bottom w:val="none" w:sz="0" w:space="0" w:color="auto"/>
        <w:right w:val="none" w:sz="0" w:space="0" w:color="auto"/>
      </w:divBdr>
    </w:div>
    <w:div w:id="1200318133">
      <w:bodyDiv w:val="1"/>
      <w:marLeft w:val="0"/>
      <w:marRight w:val="0"/>
      <w:marTop w:val="0"/>
      <w:marBottom w:val="0"/>
      <w:divBdr>
        <w:top w:val="none" w:sz="0" w:space="0" w:color="auto"/>
        <w:left w:val="none" w:sz="0" w:space="0" w:color="auto"/>
        <w:bottom w:val="none" w:sz="0" w:space="0" w:color="auto"/>
        <w:right w:val="none" w:sz="0" w:space="0" w:color="auto"/>
      </w:divBdr>
    </w:div>
    <w:div w:id="1200783183">
      <w:bodyDiv w:val="1"/>
      <w:marLeft w:val="0"/>
      <w:marRight w:val="0"/>
      <w:marTop w:val="0"/>
      <w:marBottom w:val="0"/>
      <w:divBdr>
        <w:top w:val="none" w:sz="0" w:space="0" w:color="auto"/>
        <w:left w:val="none" w:sz="0" w:space="0" w:color="auto"/>
        <w:bottom w:val="none" w:sz="0" w:space="0" w:color="auto"/>
        <w:right w:val="none" w:sz="0" w:space="0" w:color="auto"/>
      </w:divBdr>
    </w:div>
    <w:div w:id="1206603402">
      <w:bodyDiv w:val="1"/>
      <w:marLeft w:val="0"/>
      <w:marRight w:val="0"/>
      <w:marTop w:val="0"/>
      <w:marBottom w:val="0"/>
      <w:divBdr>
        <w:top w:val="none" w:sz="0" w:space="0" w:color="auto"/>
        <w:left w:val="none" w:sz="0" w:space="0" w:color="auto"/>
        <w:bottom w:val="none" w:sz="0" w:space="0" w:color="auto"/>
        <w:right w:val="none" w:sz="0" w:space="0" w:color="auto"/>
      </w:divBdr>
    </w:div>
    <w:div w:id="1210142744">
      <w:bodyDiv w:val="1"/>
      <w:marLeft w:val="0"/>
      <w:marRight w:val="0"/>
      <w:marTop w:val="0"/>
      <w:marBottom w:val="0"/>
      <w:divBdr>
        <w:top w:val="none" w:sz="0" w:space="0" w:color="auto"/>
        <w:left w:val="none" w:sz="0" w:space="0" w:color="auto"/>
        <w:bottom w:val="none" w:sz="0" w:space="0" w:color="auto"/>
        <w:right w:val="none" w:sz="0" w:space="0" w:color="auto"/>
      </w:divBdr>
    </w:div>
    <w:div w:id="1218935523">
      <w:bodyDiv w:val="1"/>
      <w:marLeft w:val="0"/>
      <w:marRight w:val="0"/>
      <w:marTop w:val="0"/>
      <w:marBottom w:val="0"/>
      <w:divBdr>
        <w:top w:val="none" w:sz="0" w:space="0" w:color="auto"/>
        <w:left w:val="none" w:sz="0" w:space="0" w:color="auto"/>
        <w:bottom w:val="none" w:sz="0" w:space="0" w:color="auto"/>
        <w:right w:val="none" w:sz="0" w:space="0" w:color="auto"/>
      </w:divBdr>
    </w:div>
    <w:div w:id="1224637882">
      <w:bodyDiv w:val="1"/>
      <w:marLeft w:val="0"/>
      <w:marRight w:val="0"/>
      <w:marTop w:val="0"/>
      <w:marBottom w:val="0"/>
      <w:divBdr>
        <w:top w:val="none" w:sz="0" w:space="0" w:color="auto"/>
        <w:left w:val="none" w:sz="0" w:space="0" w:color="auto"/>
        <w:bottom w:val="none" w:sz="0" w:space="0" w:color="auto"/>
        <w:right w:val="none" w:sz="0" w:space="0" w:color="auto"/>
      </w:divBdr>
    </w:div>
    <w:div w:id="1270818345">
      <w:bodyDiv w:val="1"/>
      <w:marLeft w:val="0"/>
      <w:marRight w:val="0"/>
      <w:marTop w:val="0"/>
      <w:marBottom w:val="0"/>
      <w:divBdr>
        <w:top w:val="none" w:sz="0" w:space="0" w:color="auto"/>
        <w:left w:val="none" w:sz="0" w:space="0" w:color="auto"/>
        <w:bottom w:val="none" w:sz="0" w:space="0" w:color="auto"/>
        <w:right w:val="none" w:sz="0" w:space="0" w:color="auto"/>
      </w:divBdr>
    </w:div>
    <w:div w:id="1303001100">
      <w:bodyDiv w:val="1"/>
      <w:marLeft w:val="0"/>
      <w:marRight w:val="0"/>
      <w:marTop w:val="0"/>
      <w:marBottom w:val="0"/>
      <w:divBdr>
        <w:top w:val="none" w:sz="0" w:space="0" w:color="auto"/>
        <w:left w:val="none" w:sz="0" w:space="0" w:color="auto"/>
        <w:bottom w:val="none" w:sz="0" w:space="0" w:color="auto"/>
        <w:right w:val="none" w:sz="0" w:space="0" w:color="auto"/>
      </w:divBdr>
    </w:div>
    <w:div w:id="1306929536">
      <w:bodyDiv w:val="1"/>
      <w:marLeft w:val="0"/>
      <w:marRight w:val="0"/>
      <w:marTop w:val="0"/>
      <w:marBottom w:val="0"/>
      <w:divBdr>
        <w:top w:val="none" w:sz="0" w:space="0" w:color="auto"/>
        <w:left w:val="none" w:sz="0" w:space="0" w:color="auto"/>
        <w:bottom w:val="none" w:sz="0" w:space="0" w:color="auto"/>
        <w:right w:val="none" w:sz="0" w:space="0" w:color="auto"/>
      </w:divBdr>
    </w:div>
    <w:div w:id="1316447034">
      <w:bodyDiv w:val="1"/>
      <w:marLeft w:val="0"/>
      <w:marRight w:val="0"/>
      <w:marTop w:val="0"/>
      <w:marBottom w:val="0"/>
      <w:divBdr>
        <w:top w:val="none" w:sz="0" w:space="0" w:color="auto"/>
        <w:left w:val="none" w:sz="0" w:space="0" w:color="auto"/>
        <w:bottom w:val="none" w:sz="0" w:space="0" w:color="auto"/>
        <w:right w:val="none" w:sz="0" w:space="0" w:color="auto"/>
      </w:divBdr>
    </w:div>
    <w:div w:id="1337073262">
      <w:bodyDiv w:val="1"/>
      <w:marLeft w:val="0"/>
      <w:marRight w:val="0"/>
      <w:marTop w:val="0"/>
      <w:marBottom w:val="0"/>
      <w:divBdr>
        <w:top w:val="none" w:sz="0" w:space="0" w:color="auto"/>
        <w:left w:val="none" w:sz="0" w:space="0" w:color="auto"/>
        <w:bottom w:val="none" w:sz="0" w:space="0" w:color="auto"/>
        <w:right w:val="none" w:sz="0" w:space="0" w:color="auto"/>
      </w:divBdr>
    </w:div>
    <w:div w:id="1349332727">
      <w:bodyDiv w:val="1"/>
      <w:marLeft w:val="0"/>
      <w:marRight w:val="0"/>
      <w:marTop w:val="0"/>
      <w:marBottom w:val="0"/>
      <w:divBdr>
        <w:top w:val="none" w:sz="0" w:space="0" w:color="auto"/>
        <w:left w:val="none" w:sz="0" w:space="0" w:color="auto"/>
        <w:bottom w:val="none" w:sz="0" w:space="0" w:color="auto"/>
        <w:right w:val="none" w:sz="0" w:space="0" w:color="auto"/>
      </w:divBdr>
    </w:div>
    <w:div w:id="1367870039">
      <w:bodyDiv w:val="1"/>
      <w:marLeft w:val="0"/>
      <w:marRight w:val="0"/>
      <w:marTop w:val="0"/>
      <w:marBottom w:val="0"/>
      <w:divBdr>
        <w:top w:val="none" w:sz="0" w:space="0" w:color="auto"/>
        <w:left w:val="none" w:sz="0" w:space="0" w:color="auto"/>
        <w:bottom w:val="none" w:sz="0" w:space="0" w:color="auto"/>
        <w:right w:val="none" w:sz="0" w:space="0" w:color="auto"/>
      </w:divBdr>
    </w:div>
    <w:div w:id="1367946775">
      <w:bodyDiv w:val="1"/>
      <w:marLeft w:val="0"/>
      <w:marRight w:val="0"/>
      <w:marTop w:val="0"/>
      <w:marBottom w:val="0"/>
      <w:divBdr>
        <w:top w:val="none" w:sz="0" w:space="0" w:color="auto"/>
        <w:left w:val="none" w:sz="0" w:space="0" w:color="auto"/>
        <w:bottom w:val="none" w:sz="0" w:space="0" w:color="auto"/>
        <w:right w:val="none" w:sz="0" w:space="0" w:color="auto"/>
      </w:divBdr>
    </w:div>
    <w:div w:id="1375470091">
      <w:bodyDiv w:val="1"/>
      <w:marLeft w:val="0"/>
      <w:marRight w:val="0"/>
      <w:marTop w:val="0"/>
      <w:marBottom w:val="0"/>
      <w:divBdr>
        <w:top w:val="none" w:sz="0" w:space="0" w:color="auto"/>
        <w:left w:val="none" w:sz="0" w:space="0" w:color="auto"/>
        <w:bottom w:val="none" w:sz="0" w:space="0" w:color="auto"/>
        <w:right w:val="none" w:sz="0" w:space="0" w:color="auto"/>
      </w:divBdr>
    </w:div>
    <w:div w:id="1375619109">
      <w:bodyDiv w:val="1"/>
      <w:marLeft w:val="0"/>
      <w:marRight w:val="0"/>
      <w:marTop w:val="0"/>
      <w:marBottom w:val="0"/>
      <w:divBdr>
        <w:top w:val="none" w:sz="0" w:space="0" w:color="auto"/>
        <w:left w:val="none" w:sz="0" w:space="0" w:color="auto"/>
        <w:bottom w:val="none" w:sz="0" w:space="0" w:color="auto"/>
        <w:right w:val="none" w:sz="0" w:space="0" w:color="auto"/>
      </w:divBdr>
    </w:div>
    <w:div w:id="1377048685">
      <w:bodyDiv w:val="1"/>
      <w:marLeft w:val="0"/>
      <w:marRight w:val="0"/>
      <w:marTop w:val="0"/>
      <w:marBottom w:val="0"/>
      <w:divBdr>
        <w:top w:val="none" w:sz="0" w:space="0" w:color="auto"/>
        <w:left w:val="none" w:sz="0" w:space="0" w:color="auto"/>
        <w:bottom w:val="none" w:sz="0" w:space="0" w:color="auto"/>
        <w:right w:val="none" w:sz="0" w:space="0" w:color="auto"/>
      </w:divBdr>
    </w:div>
    <w:div w:id="1386176672">
      <w:bodyDiv w:val="1"/>
      <w:marLeft w:val="0"/>
      <w:marRight w:val="0"/>
      <w:marTop w:val="0"/>
      <w:marBottom w:val="0"/>
      <w:divBdr>
        <w:top w:val="none" w:sz="0" w:space="0" w:color="auto"/>
        <w:left w:val="none" w:sz="0" w:space="0" w:color="auto"/>
        <w:bottom w:val="none" w:sz="0" w:space="0" w:color="auto"/>
        <w:right w:val="none" w:sz="0" w:space="0" w:color="auto"/>
      </w:divBdr>
    </w:div>
    <w:div w:id="1434279960">
      <w:bodyDiv w:val="1"/>
      <w:marLeft w:val="0"/>
      <w:marRight w:val="0"/>
      <w:marTop w:val="0"/>
      <w:marBottom w:val="0"/>
      <w:divBdr>
        <w:top w:val="none" w:sz="0" w:space="0" w:color="auto"/>
        <w:left w:val="none" w:sz="0" w:space="0" w:color="auto"/>
        <w:bottom w:val="none" w:sz="0" w:space="0" w:color="auto"/>
        <w:right w:val="none" w:sz="0" w:space="0" w:color="auto"/>
      </w:divBdr>
    </w:div>
    <w:div w:id="1436439945">
      <w:bodyDiv w:val="1"/>
      <w:marLeft w:val="0"/>
      <w:marRight w:val="0"/>
      <w:marTop w:val="0"/>
      <w:marBottom w:val="0"/>
      <w:divBdr>
        <w:top w:val="none" w:sz="0" w:space="0" w:color="auto"/>
        <w:left w:val="none" w:sz="0" w:space="0" w:color="auto"/>
        <w:bottom w:val="none" w:sz="0" w:space="0" w:color="auto"/>
        <w:right w:val="none" w:sz="0" w:space="0" w:color="auto"/>
      </w:divBdr>
    </w:div>
    <w:div w:id="1465076175">
      <w:bodyDiv w:val="1"/>
      <w:marLeft w:val="0"/>
      <w:marRight w:val="0"/>
      <w:marTop w:val="0"/>
      <w:marBottom w:val="0"/>
      <w:divBdr>
        <w:top w:val="none" w:sz="0" w:space="0" w:color="auto"/>
        <w:left w:val="none" w:sz="0" w:space="0" w:color="auto"/>
        <w:bottom w:val="none" w:sz="0" w:space="0" w:color="auto"/>
        <w:right w:val="none" w:sz="0" w:space="0" w:color="auto"/>
      </w:divBdr>
    </w:div>
    <w:div w:id="1469741378">
      <w:bodyDiv w:val="1"/>
      <w:marLeft w:val="0"/>
      <w:marRight w:val="0"/>
      <w:marTop w:val="0"/>
      <w:marBottom w:val="0"/>
      <w:divBdr>
        <w:top w:val="none" w:sz="0" w:space="0" w:color="auto"/>
        <w:left w:val="none" w:sz="0" w:space="0" w:color="auto"/>
        <w:bottom w:val="none" w:sz="0" w:space="0" w:color="auto"/>
        <w:right w:val="none" w:sz="0" w:space="0" w:color="auto"/>
      </w:divBdr>
    </w:div>
    <w:div w:id="1480460284">
      <w:bodyDiv w:val="1"/>
      <w:marLeft w:val="0"/>
      <w:marRight w:val="0"/>
      <w:marTop w:val="0"/>
      <w:marBottom w:val="0"/>
      <w:divBdr>
        <w:top w:val="none" w:sz="0" w:space="0" w:color="auto"/>
        <w:left w:val="none" w:sz="0" w:space="0" w:color="auto"/>
        <w:bottom w:val="none" w:sz="0" w:space="0" w:color="auto"/>
        <w:right w:val="none" w:sz="0" w:space="0" w:color="auto"/>
      </w:divBdr>
    </w:div>
    <w:div w:id="1498883826">
      <w:bodyDiv w:val="1"/>
      <w:marLeft w:val="0"/>
      <w:marRight w:val="0"/>
      <w:marTop w:val="0"/>
      <w:marBottom w:val="0"/>
      <w:divBdr>
        <w:top w:val="none" w:sz="0" w:space="0" w:color="auto"/>
        <w:left w:val="none" w:sz="0" w:space="0" w:color="auto"/>
        <w:bottom w:val="none" w:sz="0" w:space="0" w:color="auto"/>
        <w:right w:val="none" w:sz="0" w:space="0" w:color="auto"/>
      </w:divBdr>
    </w:div>
    <w:div w:id="1500540345">
      <w:bodyDiv w:val="1"/>
      <w:marLeft w:val="0"/>
      <w:marRight w:val="0"/>
      <w:marTop w:val="0"/>
      <w:marBottom w:val="0"/>
      <w:divBdr>
        <w:top w:val="none" w:sz="0" w:space="0" w:color="auto"/>
        <w:left w:val="none" w:sz="0" w:space="0" w:color="auto"/>
        <w:bottom w:val="none" w:sz="0" w:space="0" w:color="auto"/>
        <w:right w:val="none" w:sz="0" w:space="0" w:color="auto"/>
      </w:divBdr>
    </w:div>
    <w:div w:id="1506749247">
      <w:bodyDiv w:val="1"/>
      <w:marLeft w:val="0"/>
      <w:marRight w:val="0"/>
      <w:marTop w:val="0"/>
      <w:marBottom w:val="0"/>
      <w:divBdr>
        <w:top w:val="none" w:sz="0" w:space="0" w:color="auto"/>
        <w:left w:val="none" w:sz="0" w:space="0" w:color="auto"/>
        <w:bottom w:val="none" w:sz="0" w:space="0" w:color="auto"/>
        <w:right w:val="none" w:sz="0" w:space="0" w:color="auto"/>
      </w:divBdr>
    </w:div>
    <w:div w:id="1522626423">
      <w:bodyDiv w:val="1"/>
      <w:marLeft w:val="0"/>
      <w:marRight w:val="0"/>
      <w:marTop w:val="0"/>
      <w:marBottom w:val="0"/>
      <w:divBdr>
        <w:top w:val="none" w:sz="0" w:space="0" w:color="auto"/>
        <w:left w:val="none" w:sz="0" w:space="0" w:color="auto"/>
        <w:bottom w:val="none" w:sz="0" w:space="0" w:color="auto"/>
        <w:right w:val="none" w:sz="0" w:space="0" w:color="auto"/>
      </w:divBdr>
    </w:div>
    <w:div w:id="1551183643">
      <w:bodyDiv w:val="1"/>
      <w:marLeft w:val="0"/>
      <w:marRight w:val="0"/>
      <w:marTop w:val="0"/>
      <w:marBottom w:val="0"/>
      <w:divBdr>
        <w:top w:val="none" w:sz="0" w:space="0" w:color="auto"/>
        <w:left w:val="none" w:sz="0" w:space="0" w:color="auto"/>
        <w:bottom w:val="none" w:sz="0" w:space="0" w:color="auto"/>
        <w:right w:val="none" w:sz="0" w:space="0" w:color="auto"/>
      </w:divBdr>
    </w:div>
    <w:div w:id="1552812072">
      <w:bodyDiv w:val="1"/>
      <w:marLeft w:val="0"/>
      <w:marRight w:val="0"/>
      <w:marTop w:val="0"/>
      <w:marBottom w:val="0"/>
      <w:divBdr>
        <w:top w:val="none" w:sz="0" w:space="0" w:color="auto"/>
        <w:left w:val="none" w:sz="0" w:space="0" w:color="auto"/>
        <w:bottom w:val="none" w:sz="0" w:space="0" w:color="auto"/>
        <w:right w:val="none" w:sz="0" w:space="0" w:color="auto"/>
      </w:divBdr>
    </w:div>
    <w:div w:id="1575117007">
      <w:bodyDiv w:val="1"/>
      <w:marLeft w:val="0"/>
      <w:marRight w:val="0"/>
      <w:marTop w:val="0"/>
      <w:marBottom w:val="0"/>
      <w:divBdr>
        <w:top w:val="none" w:sz="0" w:space="0" w:color="auto"/>
        <w:left w:val="none" w:sz="0" w:space="0" w:color="auto"/>
        <w:bottom w:val="none" w:sz="0" w:space="0" w:color="auto"/>
        <w:right w:val="none" w:sz="0" w:space="0" w:color="auto"/>
      </w:divBdr>
    </w:div>
    <w:div w:id="1582642538">
      <w:bodyDiv w:val="1"/>
      <w:marLeft w:val="0"/>
      <w:marRight w:val="0"/>
      <w:marTop w:val="0"/>
      <w:marBottom w:val="0"/>
      <w:divBdr>
        <w:top w:val="none" w:sz="0" w:space="0" w:color="auto"/>
        <w:left w:val="none" w:sz="0" w:space="0" w:color="auto"/>
        <w:bottom w:val="none" w:sz="0" w:space="0" w:color="auto"/>
        <w:right w:val="none" w:sz="0" w:space="0" w:color="auto"/>
      </w:divBdr>
    </w:div>
    <w:div w:id="1583562765">
      <w:bodyDiv w:val="1"/>
      <w:marLeft w:val="0"/>
      <w:marRight w:val="0"/>
      <w:marTop w:val="0"/>
      <w:marBottom w:val="0"/>
      <w:divBdr>
        <w:top w:val="none" w:sz="0" w:space="0" w:color="auto"/>
        <w:left w:val="none" w:sz="0" w:space="0" w:color="auto"/>
        <w:bottom w:val="none" w:sz="0" w:space="0" w:color="auto"/>
        <w:right w:val="none" w:sz="0" w:space="0" w:color="auto"/>
      </w:divBdr>
    </w:div>
    <w:div w:id="1584871555">
      <w:bodyDiv w:val="1"/>
      <w:marLeft w:val="0"/>
      <w:marRight w:val="0"/>
      <w:marTop w:val="0"/>
      <w:marBottom w:val="0"/>
      <w:divBdr>
        <w:top w:val="none" w:sz="0" w:space="0" w:color="auto"/>
        <w:left w:val="none" w:sz="0" w:space="0" w:color="auto"/>
        <w:bottom w:val="none" w:sz="0" w:space="0" w:color="auto"/>
        <w:right w:val="none" w:sz="0" w:space="0" w:color="auto"/>
      </w:divBdr>
    </w:div>
    <w:div w:id="1588803919">
      <w:bodyDiv w:val="1"/>
      <w:marLeft w:val="0"/>
      <w:marRight w:val="0"/>
      <w:marTop w:val="0"/>
      <w:marBottom w:val="0"/>
      <w:divBdr>
        <w:top w:val="none" w:sz="0" w:space="0" w:color="auto"/>
        <w:left w:val="none" w:sz="0" w:space="0" w:color="auto"/>
        <w:bottom w:val="none" w:sz="0" w:space="0" w:color="auto"/>
        <w:right w:val="none" w:sz="0" w:space="0" w:color="auto"/>
      </w:divBdr>
    </w:div>
    <w:div w:id="1622807683">
      <w:bodyDiv w:val="1"/>
      <w:marLeft w:val="0"/>
      <w:marRight w:val="0"/>
      <w:marTop w:val="0"/>
      <w:marBottom w:val="0"/>
      <w:divBdr>
        <w:top w:val="none" w:sz="0" w:space="0" w:color="auto"/>
        <w:left w:val="none" w:sz="0" w:space="0" w:color="auto"/>
        <w:bottom w:val="none" w:sz="0" w:space="0" w:color="auto"/>
        <w:right w:val="none" w:sz="0" w:space="0" w:color="auto"/>
      </w:divBdr>
    </w:div>
    <w:div w:id="1644504056">
      <w:bodyDiv w:val="1"/>
      <w:marLeft w:val="0"/>
      <w:marRight w:val="0"/>
      <w:marTop w:val="0"/>
      <w:marBottom w:val="0"/>
      <w:divBdr>
        <w:top w:val="none" w:sz="0" w:space="0" w:color="auto"/>
        <w:left w:val="none" w:sz="0" w:space="0" w:color="auto"/>
        <w:bottom w:val="none" w:sz="0" w:space="0" w:color="auto"/>
        <w:right w:val="none" w:sz="0" w:space="0" w:color="auto"/>
      </w:divBdr>
    </w:div>
    <w:div w:id="1648896139">
      <w:bodyDiv w:val="1"/>
      <w:marLeft w:val="0"/>
      <w:marRight w:val="0"/>
      <w:marTop w:val="0"/>
      <w:marBottom w:val="0"/>
      <w:divBdr>
        <w:top w:val="none" w:sz="0" w:space="0" w:color="auto"/>
        <w:left w:val="none" w:sz="0" w:space="0" w:color="auto"/>
        <w:bottom w:val="none" w:sz="0" w:space="0" w:color="auto"/>
        <w:right w:val="none" w:sz="0" w:space="0" w:color="auto"/>
      </w:divBdr>
    </w:div>
    <w:div w:id="1673796813">
      <w:bodyDiv w:val="1"/>
      <w:marLeft w:val="0"/>
      <w:marRight w:val="0"/>
      <w:marTop w:val="0"/>
      <w:marBottom w:val="0"/>
      <w:divBdr>
        <w:top w:val="none" w:sz="0" w:space="0" w:color="auto"/>
        <w:left w:val="none" w:sz="0" w:space="0" w:color="auto"/>
        <w:bottom w:val="none" w:sz="0" w:space="0" w:color="auto"/>
        <w:right w:val="none" w:sz="0" w:space="0" w:color="auto"/>
      </w:divBdr>
    </w:div>
    <w:div w:id="1674066260">
      <w:bodyDiv w:val="1"/>
      <w:marLeft w:val="0"/>
      <w:marRight w:val="0"/>
      <w:marTop w:val="0"/>
      <w:marBottom w:val="0"/>
      <w:divBdr>
        <w:top w:val="none" w:sz="0" w:space="0" w:color="auto"/>
        <w:left w:val="none" w:sz="0" w:space="0" w:color="auto"/>
        <w:bottom w:val="none" w:sz="0" w:space="0" w:color="auto"/>
        <w:right w:val="none" w:sz="0" w:space="0" w:color="auto"/>
      </w:divBdr>
    </w:div>
    <w:div w:id="1696615744">
      <w:bodyDiv w:val="1"/>
      <w:marLeft w:val="0"/>
      <w:marRight w:val="0"/>
      <w:marTop w:val="0"/>
      <w:marBottom w:val="0"/>
      <w:divBdr>
        <w:top w:val="none" w:sz="0" w:space="0" w:color="auto"/>
        <w:left w:val="none" w:sz="0" w:space="0" w:color="auto"/>
        <w:bottom w:val="none" w:sz="0" w:space="0" w:color="auto"/>
        <w:right w:val="none" w:sz="0" w:space="0" w:color="auto"/>
      </w:divBdr>
    </w:div>
    <w:div w:id="1704136091">
      <w:bodyDiv w:val="1"/>
      <w:marLeft w:val="0"/>
      <w:marRight w:val="0"/>
      <w:marTop w:val="0"/>
      <w:marBottom w:val="0"/>
      <w:divBdr>
        <w:top w:val="none" w:sz="0" w:space="0" w:color="auto"/>
        <w:left w:val="none" w:sz="0" w:space="0" w:color="auto"/>
        <w:bottom w:val="none" w:sz="0" w:space="0" w:color="auto"/>
        <w:right w:val="none" w:sz="0" w:space="0" w:color="auto"/>
      </w:divBdr>
    </w:div>
    <w:div w:id="1740056023">
      <w:bodyDiv w:val="1"/>
      <w:marLeft w:val="0"/>
      <w:marRight w:val="0"/>
      <w:marTop w:val="0"/>
      <w:marBottom w:val="0"/>
      <w:divBdr>
        <w:top w:val="none" w:sz="0" w:space="0" w:color="auto"/>
        <w:left w:val="none" w:sz="0" w:space="0" w:color="auto"/>
        <w:bottom w:val="none" w:sz="0" w:space="0" w:color="auto"/>
        <w:right w:val="none" w:sz="0" w:space="0" w:color="auto"/>
      </w:divBdr>
    </w:div>
    <w:div w:id="1752236807">
      <w:bodyDiv w:val="1"/>
      <w:marLeft w:val="0"/>
      <w:marRight w:val="0"/>
      <w:marTop w:val="0"/>
      <w:marBottom w:val="0"/>
      <w:divBdr>
        <w:top w:val="none" w:sz="0" w:space="0" w:color="auto"/>
        <w:left w:val="none" w:sz="0" w:space="0" w:color="auto"/>
        <w:bottom w:val="none" w:sz="0" w:space="0" w:color="auto"/>
        <w:right w:val="none" w:sz="0" w:space="0" w:color="auto"/>
      </w:divBdr>
    </w:div>
    <w:div w:id="1769227184">
      <w:bodyDiv w:val="1"/>
      <w:marLeft w:val="0"/>
      <w:marRight w:val="0"/>
      <w:marTop w:val="0"/>
      <w:marBottom w:val="0"/>
      <w:divBdr>
        <w:top w:val="none" w:sz="0" w:space="0" w:color="auto"/>
        <w:left w:val="none" w:sz="0" w:space="0" w:color="auto"/>
        <w:bottom w:val="none" w:sz="0" w:space="0" w:color="auto"/>
        <w:right w:val="none" w:sz="0" w:space="0" w:color="auto"/>
      </w:divBdr>
    </w:div>
    <w:div w:id="1784491365">
      <w:bodyDiv w:val="1"/>
      <w:marLeft w:val="0"/>
      <w:marRight w:val="0"/>
      <w:marTop w:val="0"/>
      <w:marBottom w:val="0"/>
      <w:divBdr>
        <w:top w:val="none" w:sz="0" w:space="0" w:color="auto"/>
        <w:left w:val="none" w:sz="0" w:space="0" w:color="auto"/>
        <w:bottom w:val="none" w:sz="0" w:space="0" w:color="auto"/>
        <w:right w:val="none" w:sz="0" w:space="0" w:color="auto"/>
      </w:divBdr>
    </w:div>
    <w:div w:id="1788432620">
      <w:bodyDiv w:val="1"/>
      <w:marLeft w:val="0"/>
      <w:marRight w:val="0"/>
      <w:marTop w:val="0"/>
      <w:marBottom w:val="0"/>
      <w:divBdr>
        <w:top w:val="none" w:sz="0" w:space="0" w:color="auto"/>
        <w:left w:val="none" w:sz="0" w:space="0" w:color="auto"/>
        <w:bottom w:val="none" w:sz="0" w:space="0" w:color="auto"/>
        <w:right w:val="none" w:sz="0" w:space="0" w:color="auto"/>
      </w:divBdr>
    </w:div>
    <w:div w:id="1813056676">
      <w:bodyDiv w:val="1"/>
      <w:marLeft w:val="0"/>
      <w:marRight w:val="0"/>
      <w:marTop w:val="0"/>
      <w:marBottom w:val="0"/>
      <w:divBdr>
        <w:top w:val="none" w:sz="0" w:space="0" w:color="auto"/>
        <w:left w:val="none" w:sz="0" w:space="0" w:color="auto"/>
        <w:bottom w:val="none" w:sz="0" w:space="0" w:color="auto"/>
        <w:right w:val="none" w:sz="0" w:space="0" w:color="auto"/>
      </w:divBdr>
    </w:div>
    <w:div w:id="1825580446">
      <w:bodyDiv w:val="1"/>
      <w:marLeft w:val="0"/>
      <w:marRight w:val="0"/>
      <w:marTop w:val="0"/>
      <w:marBottom w:val="0"/>
      <w:divBdr>
        <w:top w:val="none" w:sz="0" w:space="0" w:color="auto"/>
        <w:left w:val="none" w:sz="0" w:space="0" w:color="auto"/>
        <w:bottom w:val="none" w:sz="0" w:space="0" w:color="auto"/>
        <w:right w:val="none" w:sz="0" w:space="0" w:color="auto"/>
      </w:divBdr>
    </w:div>
    <w:div w:id="1837573090">
      <w:bodyDiv w:val="1"/>
      <w:marLeft w:val="0"/>
      <w:marRight w:val="0"/>
      <w:marTop w:val="0"/>
      <w:marBottom w:val="0"/>
      <w:divBdr>
        <w:top w:val="none" w:sz="0" w:space="0" w:color="auto"/>
        <w:left w:val="none" w:sz="0" w:space="0" w:color="auto"/>
        <w:bottom w:val="none" w:sz="0" w:space="0" w:color="auto"/>
        <w:right w:val="none" w:sz="0" w:space="0" w:color="auto"/>
      </w:divBdr>
    </w:div>
    <w:div w:id="1845822467">
      <w:bodyDiv w:val="1"/>
      <w:marLeft w:val="0"/>
      <w:marRight w:val="0"/>
      <w:marTop w:val="0"/>
      <w:marBottom w:val="0"/>
      <w:divBdr>
        <w:top w:val="none" w:sz="0" w:space="0" w:color="auto"/>
        <w:left w:val="none" w:sz="0" w:space="0" w:color="auto"/>
        <w:bottom w:val="none" w:sz="0" w:space="0" w:color="auto"/>
        <w:right w:val="none" w:sz="0" w:space="0" w:color="auto"/>
      </w:divBdr>
    </w:div>
    <w:div w:id="1851794662">
      <w:bodyDiv w:val="1"/>
      <w:marLeft w:val="0"/>
      <w:marRight w:val="0"/>
      <w:marTop w:val="0"/>
      <w:marBottom w:val="0"/>
      <w:divBdr>
        <w:top w:val="none" w:sz="0" w:space="0" w:color="auto"/>
        <w:left w:val="none" w:sz="0" w:space="0" w:color="auto"/>
        <w:bottom w:val="none" w:sz="0" w:space="0" w:color="auto"/>
        <w:right w:val="none" w:sz="0" w:space="0" w:color="auto"/>
      </w:divBdr>
    </w:div>
    <w:div w:id="1853493816">
      <w:bodyDiv w:val="1"/>
      <w:marLeft w:val="0"/>
      <w:marRight w:val="0"/>
      <w:marTop w:val="0"/>
      <w:marBottom w:val="0"/>
      <w:divBdr>
        <w:top w:val="none" w:sz="0" w:space="0" w:color="auto"/>
        <w:left w:val="none" w:sz="0" w:space="0" w:color="auto"/>
        <w:bottom w:val="none" w:sz="0" w:space="0" w:color="auto"/>
        <w:right w:val="none" w:sz="0" w:space="0" w:color="auto"/>
      </w:divBdr>
    </w:div>
    <w:div w:id="1894147638">
      <w:bodyDiv w:val="1"/>
      <w:marLeft w:val="0"/>
      <w:marRight w:val="0"/>
      <w:marTop w:val="0"/>
      <w:marBottom w:val="0"/>
      <w:divBdr>
        <w:top w:val="none" w:sz="0" w:space="0" w:color="auto"/>
        <w:left w:val="none" w:sz="0" w:space="0" w:color="auto"/>
        <w:bottom w:val="none" w:sz="0" w:space="0" w:color="auto"/>
        <w:right w:val="none" w:sz="0" w:space="0" w:color="auto"/>
      </w:divBdr>
    </w:div>
    <w:div w:id="1903905062">
      <w:bodyDiv w:val="1"/>
      <w:marLeft w:val="0"/>
      <w:marRight w:val="0"/>
      <w:marTop w:val="0"/>
      <w:marBottom w:val="0"/>
      <w:divBdr>
        <w:top w:val="none" w:sz="0" w:space="0" w:color="auto"/>
        <w:left w:val="none" w:sz="0" w:space="0" w:color="auto"/>
        <w:bottom w:val="none" w:sz="0" w:space="0" w:color="auto"/>
        <w:right w:val="none" w:sz="0" w:space="0" w:color="auto"/>
      </w:divBdr>
    </w:div>
    <w:div w:id="1910188866">
      <w:bodyDiv w:val="1"/>
      <w:marLeft w:val="0"/>
      <w:marRight w:val="0"/>
      <w:marTop w:val="0"/>
      <w:marBottom w:val="0"/>
      <w:divBdr>
        <w:top w:val="none" w:sz="0" w:space="0" w:color="auto"/>
        <w:left w:val="none" w:sz="0" w:space="0" w:color="auto"/>
        <w:bottom w:val="none" w:sz="0" w:space="0" w:color="auto"/>
        <w:right w:val="none" w:sz="0" w:space="0" w:color="auto"/>
      </w:divBdr>
    </w:div>
    <w:div w:id="1941601640">
      <w:bodyDiv w:val="1"/>
      <w:marLeft w:val="0"/>
      <w:marRight w:val="0"/>
      <w:marTop w:val="0"/>
      <w:marBottom w:val="0"/>
      <w:divBdr>
        <w:top w:val="none" w:sz="0" w:space="0" w:color="auto"/>
        <w:left w:val="none" w:sz="0" w:space="0" w:color="auto"/>
        <w:bottom w:val="none" w:sz="0" w:space="0" w:color="auto"/>
        <w:right w:val="none" w:sz="0" w:space="0" w:color="auto"/>
      </w:divBdr>
    </w:div>
    <w:div w:id="1949268114">
      <w:bodyDiv w:val="1"/>
      <w:marLeft w:val="0"/>
      <w:marRight w:val="0"/>
      <w:marTop w:val="0"/>
      <w:marBottom w:val="0"/>
      <w:divBdr>
        <w:top w:val="none" w:sz="0" w:space="0" w:color="auto"/>
        <w:left w:val="none" w:sz="0" w:space="0" w:color="auto"/>
        <w:bottom w:val="none" w:sz="0" w:space="0" w:color="auto"/>
        <w:right w:val="none" w:sz="0" w:space="0" w:color="auto"/>
      </w:divBdr>
    </w:div>
    <w:div w:id="1957368014">
      <w:bodyDiv w:val="1"/>
      <w:marLeft w:val="0"/>
      <w:marRight w:val="0"/>
      <w:marTop w:val="0"/>
      <w:marBottom w:val="0"/>
      <w:divBdr>
        <w:top w:val="none" w:sz="0" w:space="0" w:color="auto"/>
        <w:left w:val="none" w:sz="0" w:space="0" w:color="auto"/>
        <w:bottom w:val="none" w:sz="0" w:space="0" w:color="auto"/>
        <w:right w:val="none" w:sz="0" w:space="0" w:color="auto"/>
      </w:divBdr>
    </w:div>
    <w:div w:id="1975671682">
      <w:bodyDiv w:val="1"/>
      <w:marLeft w:val="0"/>
      <w:marRight w:val="0"/>
      <w:marTop w:val="0"/>
      <w:marBottom w:val="0"/>
      <w:divBdr>
        <w:top w:val="none" w:sz="0" w:space="0" w:color="auto"/>
        <w:left w:val="none" w:sz="0" w:space="0" w:color="auto"/>
        <w:bottom w:val="none" w:sz="0" w:space="0" w:color="auto"/>
        <w:right w:val="none" w:sz="0" w:space="0" w:color="auto"/>
      </w:divBdr>
    </w:div>
    <w:div w:id="1994214055">
      <w:bodyDiv w:val="1"/>
      <w:marLeft w:val="0"/>
      <w:marRight w:val="0"/>
      <w:marTop w:val="0"/>
      <w:marBottom w:val="0"/>
      <w:divBdr>
        <w:top w:val="none" w:sz="0" w:space="0" w:color="auto"/>
        <w:left w:val="none" w:sz="0" w:space="0" w:color="auto"/>
        <w:bottom w:val="none" w:sz="0" w:space="0" w:color="auto"/>
        <w:right w:val="none" w:sz="0" w:space="0" w:color="auto"/>
      </w:divBdr>
    </w:div>
    <w:div w:id="2027710432">
      <w:bodyDiv w:val="1"/>
      <w:marLeft w:val="0"/>
      <w:marRight w:val="0"/>
      <w:marTop w:val="0"/>
      <w:marBottom w:val="0"/>
      <w:divBdr>
        <w:top w:val="none" w:sz="0" w:space="0" w:color="auto"/>
        <w:left w:val="none" w:sz="0" w:space="0" w:color="auto"/>
        <w:bottom w:val="none" w:sz="0" w:space="0" w:color="auto"/>
        <w:right w:val="none" w:sz="0" w:space="0" w:color="auto"/>
      </w:divBdr>
    </w:div>
    <w:div w:id="2043283197">
      <w:bodyDiv w:val="1"/>
      <w:marLeft w:val="0"/>
      <w:marRight w:val="0"/>
      <w:marTop w:val="0"/>
      <w:marBottom w:val="0"/>
      <w:divBdr>
        <w:top w:val="none" w:sz="0" w:space="0" w:color="auto"/>
        <w:left w:val="none" w:sz="0" w:space="0" w:color="auto"/>
        <w:bottom w:val="none" w:sz="0" w:space="0" w:color="auto"/>
        <w:right w:val="none" w:sz="0" w:space="0" w:color="auto"/>
      </w:divBdr>
    </w:div>
    <w:div w:id="2047564437">
      <w:bodyDiv w:val="1"/>
      <w:marLeft w:val="0"/>
      <w:marRight w:val="0"/>
      <w:marTop w:val="0"/>
      <w:marBottom w:val="0"/>
      <w:divBdr>
        <w:top w:val="none" w:sz="0" w:space="0" w:color="auto"/>
        <w:left w:val="none" w:sz="0" w:space="0" w:color="auto"/>
        <w:bottom w:val="none" w:sz="0" w:space="0" w:color="auto"/>
        <w:right w:val="none" w:sz="0" w:space="0" w:color="auto"/>
      </w:divBdr>
    </w:div>
    <w:div w:id="2057581359">
      <w:bodyDiv w:val="1"/>
      <w:marLeft w:val="0"/>
      <w:marRight w:val="0"/>
      <w:marTop w:val="0"/>
      <w:marBottom w:val="0"/>
      <w:divBdr>
        <w:top w:val="none" w:sz="0" w:space="0" w:color="auto"/>
        <w:left w:val="none" w:sz="0" w:space="0" w:color="auto"/>
        <w:bottom w:val="none" w:sz="0" w:space="0" w:color="auto"/>
        <w:right w:val="none" w:sz="0" w:space="0" w:color="auto"/>
      </w:divBdr>
    </w:div>
    <w:div w:id="2071270812">
      <w:bodyDiv w:val="1"/>
      <w:marLeft w:val="0"/>
      <w:marRight w:val="0"/>
      <w:marTop w:val="0"/>
      <w:marBottom w:val="0"/>
      <w:divBdr>
        <w:top w:val="none" w:sz="0" w:space="0" w:color="auto"/>
        <w:left w:val="none" w:sz="0" w:space="0" w:color="auto"/>
        <w:bottom w:val="none" w:sz="0" w:space="0" w:color="auto"/>
        <w:right w:val="none" w:sz="0" w:space="0" w:color="auto"/>
      </w:divBdr>
    </w:div>
    <w:div w:id="2102488224">
      <w:bodyDiv w:val="1"/>
      <w:marLeft w:val="0"/>
      <w:marRight w:val="0"/>
      <w:marTop w:val="0"/>
      <w:marBottom w:val="0"/>
      <w:divBdr>
        <w:top w:val="none" w:sz="0" w:space="0" w:color="auto"/>
        <w:left w:val="none" w:sz="0" w:space="0" w:color="auto"/>
        <w:bottom w:val="none" w:sz="0" w:space="0" w:color="auto"/>
        <w:right w:val="none" w:sz="0" w:space="0" w:color="auto"/>
      </w:divBdr>
    </w:div>
    <w:div w:id="2109350915">
      <w:bodyDiv w:val="1"/>
      <w:marLeft w:val="0"/>
      <w:marRight w:val="0"/>
      <w:marTop w:val="0"/>
      <w:marBottom w:val="0"/>
      <w:divBdr>
        <w:top w:val="none" w:sz="0" w:space="0" w:color="auto"/>
        <w:left w:val="none" w:sz="0" w:space="0" w:color="auto"/>
        <w:bottom w:val="none" w:sz="0" w:space="0" w:color="auto"/>
        <w:right w:val="none" w:sz="0" w:space="0" w:color="auto"/>
      </w:divBdr>
    </w:div>
    <w:div w:id="2112314715">
      <w:bodyDiv w:val="1"/>
      <w:marLeft w:val="0"/>
      <w:marRight w:val="0"/>
      <w:marTop w:val="0"/>
      <w:marBottom w:val="0"/>
      <w:divBdr>
        <w:top w:val="none" w:sz="0" w:space="0" w:color="auto"/>
        <w:left w:val="none" w:sz="0" w:space="0" w:color="auto"/>
        <w:bottom w:val="none" w:sz="0" w:space="0" w:color="auto"/>
        <w:right w:val="none" w:sz="0" w:space="0" w:color="auto"/>
      </w:divBdr>
    </w:div>
    <w:div w:id="2125609839">
      <w:bodyDiv w:val="1"/>
      <w:marLeft w:val="0"/>
      <w:marRight w:val="0"/>
      <w:marTop w:val="0"/>
      <w:marBottom w:val="0"/>
      <w:divBdr>
        <w:top w:val="none" w:sz="0" w:space="0" w:color="auto"/>
        <w:left w:val="none" w:sz="0" w:space="0" w:color="auto"/>
        <w:bottom w:val="none" w:sz="0" w:space="0" w:color="auto"/>
        <w:right w:val="none" w:sz="0" w:space="0" w:color="auto"/>
      </w:divBdr>
    </w:div>
    <w:div w:id="2126194705">
      <w:bodyDiv w:val="1"/>
      <w:marLeft w:val="0"/>
      <w:marRight w:val="0"/>
      <w:marTop w:val="0"/>
      <w:marBottom w:val="0"/>
      <w:divBdr>
        <w:top w:val="none" w:sz="0" w:space="0" w:color="auto"/>
        <w:left w:val="none" w:sz="0" w:space="0" w:color="auto"/>
        <w:bottom w:val="none" w:sz="0" w:space="0" w:color="auto"/>
        <w:right w:val="none" w:sz="0" w:space="0" w:color="auto"/>
      </w:divBdr>
    </w:div>
    <w:div w:id="21466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B1B4-68C8-478C-BB70-67954FB9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___   For discussion at SPLG – Belfast 6/6/2008</vt:lpstr>
    </vt:vector>
  </TitlesOfParts>
  <Company>ISTITUTE OF PAYROLL AND PENSIONS ADMIN</Company>
  <LinksUpToDate>false</LinksUpToDate>
  <CharactersWithSpaces>27092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For discussion at SPLG – Belfast 6/6/2008</dc:title>
  <dc:creator>KNOX</dc:creator>
  <cp:lastModifiedBy>u205885</cp:lastModifiedBy>
  <cp:revision>2</cp:revision>
  <cp:lastPrinted>2016-03-11T10:12:00Z</cp:lastPrinted>
  <dcterms:created xsi:type="dcterms:W3CDTF">2017-03-10T15:37:00Z</dcterms:created>
  <dcterms:modified xsi:type="dcterms:W3CDTF">2017-03-10T15:37:00Z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943631046</vt:i4>
  </property>
  <property fmtid="{D5CDD505-2E9C-101B-9397-08002B2CF9AE}" pid="4" name="_EmailSubject">
    <vt:lpwstr>Replacement document</vt:lpwstr>
  </property>
  <property fmtid="{D5CDD505-2E9C-101B-9397-08002B2CF9AE}" pid="5" name="_AuthorEmail">
    <vt:lpwstr>Debbie.Macrae@falkirk.gov.uk</vt:lpwstr>
  </property>
  <property fmtid="{D5CDD505-2E9C-101B-9397-08002B2CF9AE}" pid="6" name="_AuthorEmailDisplayName">
    <vt:lpwstr>Macrae, Debbie</vt:lpwstr>
  </property>
</Properties>
</file>