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CBDCB" w14:textId="61970F2C" w:rsidR="007C2164" w:rsidRPr="00C22078" w:rsidRDefault="00697A08" w:rsidP="007C2164">
      <w:pPr>
        <w:pStyle w:val="Heading1"/>
        <w:rPr>
          <w:color w:val="455560" w:themeColor="accent5"/>
        </w:rPr>
      </w:pPr>
      <w:bookmarkStart w:id="0" w:name="_Toc86162826"/>
      <w:bookmarkStart w:id="1" w:name="_Toc110255233"/>
      <w:bookmarkStart w:id="2" w:name="_Toc110352041"/>
      <w:bookmarkStart w:id="3" w:name="_Toc110352066"/>
      <w:bookmarkStart w:id="4" w:name="_Toc110352131"/>
      <w:bookmarkStart w:id="5" w:name="_Toc110352136"/>
      <w:r w:rsidRPr="00F451C2">
        <w:rPr>
          <w:color w:val="455560" w:themeColor="accent5"/>
        </w:rPr>
        <w:t>F</w:t>
      </w:r>
      <w:r w:rsidR="00073755">
        <w:rPr>
          <w:color w:val="455560" w:themeColor="accent5"/>
        </w:rPr>
        <w:t>alkirk Council</w:t>
      </w:r>
      <w:r w:rsidR="007C2164" w:rsidRPr="00F451C2">
        <w:rPr>
          <w:color w:val="455560" w:themeColor="accent5"/>
        </w:rPr>
        <w:t xml:space="preserve"> Pension Fund</w:t>
      </w:r>
      <w:bookmarkEnd w:id="0"/>
      <w:bookmarkEnd w:id="1"/>
      <w:bookmarkEnd w:id="2"/>
      <w:bookmarkEnd w:id="3"/>
      <w:bookmarkEnd w:id="4"/>
    </w:p>
    <w:p w14:paraId="253A0092" w14:textId="32495BF4" w:rsidR="007C2164" w:rsidRDefault="000648B6" w:rsidP="007C2164">
      <w:pPr>
        <w:pStyle w:val="Heading1"/>
        <w:rPr>
          <w:color w:val="455560" w:themeColor="accent5"/>
        </w:rPr>
      </w:pPr>
      <w:r>
        <w:rPr>
          <w:color w:val="455560" w:themeColor="accent5"/>
        </w:rPr>
        <w:t>Policy on c</w:t>
      </w:r>
      <w:r w:rsidR="009F6ED5">
        <w:rPr>
          <w:color w:val="455560" w:themeColor="accent5"/>
        </w:rPr>
        <w:t xml:space="preserve">ontribution reviews </w:t>
      </w:r>
    </w:p>
    <w:tbl>
      <w:tblPr>
        <w:tblStyle w:val="TableGrid"/>
        <w:tblW w:w="0" w:type="auto"/>
        <w:tblLayout w:type="fixed"/>
        <w:tblLook w:val="04A0" w:firstRow="1" w:lastRow="0" w:firstColumn="1" w:lastColumn="0" w:noHBand="0" w:noVBand="1"/>
      </w:tblPr>
      <w:tblGrid>
        <w:gridCol w:w="3425"/>
        <w:gridCol w:w="3250"/>
      </w:tblGrid>
      <w:tr w:rsidR="00C53669" w14:paraId="6FA9374F" w14:textId="77777777" w:rsidTr="004B478B">
        <w:trPr>
          <w:trHeight w:val="301"/>
        </w:trPr>
        <w:tc>
          <w:tcPr>
            <w:tcW w:w="3425" w:type="dxa"/>
          </w:tcPr>
          <w:p w14:paraId="28C823A5" w14:textId="77777777" w:rsidR="00C53669" w:rsidRPr="007C2164" w:rsidRDefault="00C53669" w:rsidP="004B478B">
            <w:pPr>
              <w:pStyle w:val="BodyTextGrey"/>
              <w:spacing w:after="0" w:line="240" w:lineRule="auto"/>
            </w:pPr>
            <w:bookmarkStart w:id="6" w:name="_Toc110352043"/>
            <w:bookmarkStart w:id="7" w:name="_Toc110352068"/>
            <w:bookmarkStart w:id="8" w:name="_Toc110352133"/>
            <w:r w:rsidRPr="007C2164">
              <w:t>Effective date of policy</w:t>
            </w:r>
            <w:bookmarkEnd w:id="6"/>
            <w:bookmarkEnd w:id="7"/>
            <w:bookmarkEnd w:id="8"/>
          </w:p>
        </w:tc>
        <w:tc>
          <w:tcPr>
            <w:tcW w:w="3250" w:type="dxa"/>
          </w:tcPr>
          <w:p w14:paraId="210C4B15" w14:textId="0522C7C2" w:rsidR="00697A08" w:rsidRPr="007C2164" w:rsidRDefault="00A00DE3" w:rsidP="004B478B">
            <w:pPr>
              <w:pStyle w:val="BodyTextGrey"/>
              <w:spacing w:after="0" w:line="240" w:lineRule="auto"/>
            </w:pPr>
            <w:r>
              <w:t>14 March 2024</w:t>
            </w:r>
          </w:p>
        </w:tc>
      </w:tr>
      <w:tr w:rsidR="00C53669" w14:paraId="5F3D9862" w14:textId="77777777" w:rsidTr="004B478B">
        <w:trPr>
          <w:trHeight w:val="301"/>
        </w:trPr>
        <w:tc>
          <w:tcPr>
            <w:tcW w:w="3425" w:type="dxa"/>
          </w:tcPr>
          <w:p w14:paraId="49BBCF9E" w14:textId="77777777" w:rsidR="00C53669" w:rsidRPr="007C2164" w:rsidRDefault="00C53669" w:rsidP="004B478B">
            <w:pPr>
              <w:pStyle w:val="BodyTextGrey"/>
              <w:spacing w:after="0" w:line="240" w:lineRule="auto"/>
            </w:pPr>
            <w:bookmarkStart w:id="9" w:name="_Toc110352044"/>
            <w:bookmarkStart w:id="10" w:name="_Toc110352069"/>
            <w:bookmarkStart w:id="11" w:name="_Toc110352134"/>
            <w:r w:rsidRPr="007C2164">
              <w:t>Date approved</w:t>
            </w:r>
            <w:bookmarkEnd w:id="9"/>
            <w:bookmarkEnd w:id="10"/>
            <w:bookmarkEnd w:id="11"/>
          </w:p>
        </w:tc>
        <w:tc>
          <w:tcPr>
            <w:tcW w:w="3250" w:type="dxa"/>
          </w:tcPr>
          <w:p w14:paraId="4518B0A6" w14:textId="0086F3C2" w:rsidR="00C53669" w:rsidRPr="007C2164" w:rsidRDefault="00A00DE3" w:rsidP="004B478B">
            <w:pPr>
              <w:pStyle w:val="BodyTextGrey"/>
              <w:spacing w:after="0" w:line="240" w:lineRule="auto"/>
            </w:pPr>
            <w:r>
              <w:t>14 March 2024</w:t>
            </w:r>
          </w:p>
        </w:tc>
      </w:tr>
      <w:tr w:rsidR="00C53669" w14:paraId="4A273644" w14:textId="77777777" w:rsidTr="004B478B">
        <w:trPr>
          <w:trHeight w:val="301"/>
        </w:trPr>
        <w:tc>
          <w:tcPr>
            <w:tcW w:w="3425" w:type="dxa"/>
          </w:tcPr>
          <w:p w14:paraId="590BDDC3" w14:textId="77777777" w:rsidR="00C53669" w:rsidRPr="007C2164" w:rsidRDefault="00C53669" w:rsidP="004B478B">
            <w:pPr>
              <w:pStyle w:val="BodyTextGrey"/>
              <w:spacing w:after="0" w:line="240" w:lineRule="auto"/>
            </w:pPr>
            <w:bookmarkStart w:id="12" w:name="_Toc110352070"/>
            <w:bookmarkStart w:id="13" w:name="_Toc110352135"/>
            <w:r w:rsidRPr="007C2164">
              <w:t>Next review</w:t>
            </w:r>
            <w:bookmarkEnd w:id="12"/>
            <w:bookmarkEnd w:id="13"/>
          </w:p>
        </w:tc>
        <w:tc>
          <w:tcPr>
            <w:tcW w:w="3250" w:type="dxa"/>
          </w:tcPr>
          <w:p w14:paraId="37476CD7" w14:textId="702BC6AA" w:rsidR="00C53669" w:rsidRPr="007C2164" w:rsidRDefault="00A00DE3" w:rsidP="004B478B">
            <w:pPr>
              <w:pStyle w:val="BodyTextGrey"/>
              <w:spacing w:after="0" w:line="240" w:lineRule="auto"/>
            </w:pPr>
            <w:r>
              <w:t>2027</w:t>
            </w:r>
          </w:p>
        </w:tc>
      </w:tr>
    </w:tbl>
    <w:p w14:paraId="503CD73F" w14:textId="1139ED96" w:rsidR="003A4DFA" w:rsidRDefault="005B6A4F" w:rsidP="00C43446">
      <w:pPr>
        <w:pStyle w:val="Heading1Num"/>
      </w:pPr>
      <w:r>
        <w:t>Introduction</w:t>
      </w:r>
      <w:bookmarkEnd w:id="5"/>
    </w:p>
    <w:p w14:paraId="4192BDD2" w14:textId="00872D7B" w:rsidR="00910D52" w:rsidRDefault="00445823" w:rsidP="00951E8F">
      <w:pPr>
        <w:pStyle w:val="BodyTextGrey"/>
      </w:pPr>
      <w:r>
        <w:t>Th</w:t>
      </w:r>
      <w:r w:rsidR="005B6A4F">
        <w:t xml:space="preserve">e purpose of this policy is to set out the </w:t>
      </w:r>
      <w:r w:rsidR="00C07D97">
        <w:t>a</w:t>
      </w:r>
      <w:r w:rsidR="005B6A4F">
        <w:t xml:space="preserve">dministering </w:t>
      </w:r>
      <w:r w:rsidR="00C07D97">
        <w:t>a</w:t>
      </w:r>
      <w:r w:rsidR="005B6A4F">
        <w:t>uthorit</w:t>
      </w:r>
      <w:r w:rsidR="007C2164">
        <w:t>y’s</w:t>
      </w:r>
      <w:r w:rsidR="005B6A4F">
        <w:t xml:space="preserve"> approach to</w:t>
      </w:r>
      <w:r w:rsidR="001F6C95">
        <w:t xml:space="preserve"> </w:t>
      </w:r>
      <w:r w:rsidR="009F6ED5">
        <w:t>reviewing contribution rates between triennial valuations</w:t>
      </w:r>
      <w:r w:rsidR="007C2164">
        <w:t>.</w:t>
      </w:r>
      <w:r w:rsidR="00F17265">
        <w:t xml:space="preserve"> </w:t>
      </w:r>
    </w:p>
    <w:p w14:paraId="4C78DC0E" w14:textId="3A5AE5FD" w:rsidR="004D5C31" w:rsidRDefault="005B6A4F" w:rsidP="00951E8F">
      <w:pPr>
        <w:pStyle w:val="BodyTextGrey"/>
      </w:pPr>
      <w:r>
        <w:t>It should be noted that this statement is not exhaustive and individual circumstances may be taken into consideration where appropriate.</w:t>
      </w:r>
    </w:p>
    <w:p w14:paraId="2BE72525" w14:textId="17F429CA" w:rsidR="00202117" w:rsidRDefault="005B6A4F" w:rsidP="005B6A4F">
      <w:pPr>
        <w:pStyle w:val="Heading2Num"/>
      </w:pPr>
      <w:bookmarkStart w:id="14" w:name="_Toc86162833"/>
      <w:r>
        <w:t>Aims and objectives</w:t>
      </w:r>
      <w:bookmarkEnd w:id="14"/>
    </w:p>
    <w:p w14:paraId="2B206AB1" w14:textId="25B476C9" w:rsidR="005B6A4F" w:rsidRDefault="005B6A4F" w:rsidP="0084354D">
      <w:pPr>
        <w:pStyle w:val="BodyTextGrey"/>
      </w:pPr>
      <w:r>
        <w:t xml:space="preserve">The </w:t>
      </w:r>
      <w:r w:rsidR="00C07D97">
        <w:t>a</w:t>
      </w:r>
      <w:r w:rsidR="00B02373">
        <w:t xml:space="preserve">dministering </w:t>
      </w:r>
      <w:r w:rsidR="00C07D97">
        <w:t>a</w:t>
      </w:r>
      <w:r w:rsidR="00B02373">
        <w:t xml:space="preserve">uthority’s </w:t>
      </w:r>
      <w:r>
        <w:t>aims and objectives related to this policy are as follows:</w:t>
      </w:r>
      <w:r w:rsidR="00272343">
        <w:t xml:space="preserve"> </w:t>
      </w:r>
    </w:p>
    <w:p w14:paraId="75A0A22F" w14:textId="395A53C0" w:rsidR="001F6C95" w:rsidRDefault="001F6C95" w:rsidP="0084354D">
      <w:pPr>
        <w:pStyle w:val="BodyTextGrey"/>
        <w:numPr>
          <w:ilvl w:val="0"/>
          <w:numId w:val="12"/>
        </w:numPr>
      </w:pPr>
      <w:r>
        <w:t xml:space="preserve">To provide </w:t>
      </w:r>
      <w:r w:rsidR="00C07D97">
        <w:t>e</w:t>
      </w:r>
      <w:r>
        <w:t xml:space="preserve">mployers with clarity around the circumstances where </w:t>
      </w:r>
      <w:r w:rsidR="009F6ED5">
        <w:t>contribution rates may be reviewed between valuations.</w:t>
      </w:r>
    </w:p>
    <w:p w14:paraId="2EC5EE3D" w14:textId="2EACD11A" w:rsidR="005B6A4F" w:rsidRDefault="001F6C95" w:rsidP="0084354D">
      <w:pPr>
        <w:pStyle w:val="BodyTextGrey"/>
        <w:numPr>
          <w:ilvl w:val="0"/>
          <w:numId w:val="12"/>
        </w:numPr>
      </w:pPr>
      <w:r>
        <w:t>To outline</w:t>
      </w:r>
      <w:r w:rsidR="001405A0">
        <w:t xml:space="preserve"> specific circumstances where contribution rates will not be reviewed</w:t>
      </w:r>
      <w:r w:rsidR="002F2AAA">
        <w:t>.</w:t>
      </w:r>
    </w:p>
    <w:p w14:paraId="3B3C9B03" w14:textId="305AB583" w:rsidR="006A3BCD" w:rsidRPr="004A7AFA" w:rsidRDefault="005B6A4F" w:rsidP="004A7AFA">
      <w:pPr>
        <w:pStyle w:val="Heading2Num"/>
      </w:pPr>
      <w:bookmarkStart w:id="15" w:name="_Toc16078815"/>
      <w:bookmarkStart w:id="16" w:name="_Toc86162838"/>
      <w:r>
        <w:t>Background</w:t>
      </w:r>
      <w:bookmarkEnd w:id="15"/>
      <w:bookmarkEnd w:id="16"/>
    </w:p>
    <w:p w14:paraId="4C6082A1" w14:textId="396B0AA9" w:rsidR="001405A0" w:rsidRDefault="001405A0" w:rsidP="002F2AAA">
      <w:pPr>
        <w:pStyle w:val="BodyTextGrey"/>
      </w:pPr>
      <w:r>
        <w:t>T</w:t>
      </w:r>
      <w:r w:rsidRPr="000966D8">
        <w:t xml:space="preserve">he Fund may amend contribution rates between valuations for </w:t>
      </w:r>
      <w:r w:rsidR="00C53669">
        <w:t>‘</w:t>
      </w:r>
      <w:r w:rsidRPr="000966D8">
        <w:t>significant change</w:t>
      </w:r>
      <w:r w:rsidR="00C53669">
        <w:t>’</w:t>
      </w:r>
      <w:r w:rsidRPr="000966D8">
        <w:t xml:space="preserve"> to the liabilities or covenant of an employer. </w:t>
      </w:r>
    </w:p>
    <w:p w14:paraId="15A713AA" w14:textId="7CC123F7" w:rsidR="001405A0" w:rsidRDefault="001405A0" w:rsidP="002F2AAA">
      <w:pPr>
        <w:pStyle w:val="BodyTextGrey"/>
      </w:pPr>
      <w:r>
        <w:t xml:space="preserve">Such reviews may be instigated by the </w:t>
      </w:r>
      <w:r w:rsidR="00C07D97">
        <w:t>f</w:t>
      </w:r>
      <w:r>
        <w:t xml:space="preserve">und or at the request of a participating </w:t>
      </w:r>
      <w:r w:rsidR="00C07D97">
        <w:t>e</w:t>
      </w:r>
      <w:r>
        <w:t>mployer.</w:t>
      </w:r>
    </w:p>
    <w:p w14:paraId="108E3178" w14:textId="406E71AB" w:rsidR="00965C53" w:rsidRPr="001405A0" w:rsidRDefault="00C53669" w:rsidP="00965C53">
      <w:pPr>
        <w:pStyle w:val="BodyTextGrey"/>
      </w:pPr>
      <w:r>
        <w:rPr>
          <w:color w:val="45545F"/>
        </w:rPr>
        <w:t>A</w:t>
      </w:r>
      <w:r w:rsidR="00965C53" w:rsidRPr="004B478B">
        <w:rPr>
          <w:color w:val="45545F"/>
        </w:rPr>
        <w:t xml:space="preserve">ny review may </w:t>
      </w:r>
      <w:r w:rsidR="009F4F04">
        <w:rPr>
          <w:color w:val="45545F"/>
        </w:rPr>
        <w:t xml:space="preserve">lead to a change in the </w:t>
      </w:r>
      <w:r w:rsidR="00965C53" w:rsidRPr="004B478B">
        <w:rPr>
          <w:color w:val="45545F"/>
        </w:rPr>
        <w:t>require</w:t>
      </w:r>
      <w:r w:rsidR="009F4F04">
        <w:rPr>
          <w:color w:val="45545F"/>
        </w:rPr>
        <w:t xml:space="preserve">d </w:t>
      </w:r>
      <w:r w:rsidR="00965C53" w:rsidRPr="004B478B">
        <w:rPr>
          <w:color w:val="45545F"/>
        </w:rPr>
        <w:t>contributions</w:t>
      </w:r>
      <w:r w:rsidR="00965C53">
        <w:rPr>
          <w:color w:val="45545F"/>
        </w:rPr>
        <w:t xml:space="preserve"> from the employer</w:t>
      </w:r>
      <w:r w:rsidR="00965C53" w:rsidRPr="004B478B">
        <w:rPr>
          <w:color w:val="45545F"/>
        </w:rPr>
        <w:t>.</w:t>
      </w:r>
    </w:p>
    <w:p w14:paraId="24BFF014" w14:textId="58E26E7E" w:rsidR="00137BB9" w:rsidRPr="00B02373" w:rsidRDefault="005B6A4F" w:rsidP="00B02373">
      <w:pPr>
        <w:pStyle w:val="Heading2Num"/>
      </w:pPr>
      <w:r w:rsidRPr="002F2AAA">
        <w:t xml:space="preserve">Guidance and </w:t>
      </w:r>
      <w:r w:rsidR="00965C53">
        <w:t>r</w:t>
      </w:r>
      <w:r w:rsidRPr="002F2AAA">
        <w:t>egulatory framework</w:t>
      </w:r>
    </w:p>
    <w:p w14:paraId="4F51279E" w14:textId="0E8DEA26" w:rsidR="00B02373" w:rsidRDefault="00A00DE3" w:rsidP="00B02373">
      <w:pPr>
        <w:pStyle w:val="BodyTextGrey"/>
      </w:pPr>
      <w:hyperlink r:id="rId11" w:history="1">
        <w:r w:rsidR="00697A08" w:rsidRPr="00697A08">
          <w:rPr>
            <w:rStyle w:val="Hyperlink"/>
          </w:rPr>
          <w:t>Regulation 61</w:t>
        </w:r>
      </w:hyperlink>
      <w:r w:rsidR="00697A08">
        <w:t xml:space="preserve"> </w:t>
      </w:r>
      <w:r w:rsidR="009F4F04">
        <w:t>of t</w:t>
      </w:r>
      <w:r w:rsidR="005B6A4F">
        <w:t>he Local Government Pension Scheme</w:t>
      </w:r>
      <w:r w:rsidR="00697A08">
        <w:t xml:space="preserve"> (Scotland)</w:t>
      </w:r>
      <w:r w:rsidR="005B6A4F">
        <w:t xml:space="preserve"> Regulations 201</w:t>
      </w:r>
      <w:r w:rsidR="00697A08">
        <w:t>8</w:t>
      </w:r>
      <w:r w:rsidR="005B6A4F">
        <w:t xml:space="preserve"> </w:t>
      </w:r>
      <w:r w:rsidR="002F2AAA">
        <w:t>set</w:t>
      </w:r>
      <w:r w:rsidR="009F4F04">
        <w:t>s</w:t>
      </w:r>
      <w:r w:rsidR="002F2AAA">
        <w:t xml:space="preserve"> out the </w:t>
      </w:r>
      <w:r w:rsidR="00B02373">
        <w:t xml:space="preserve">way in which LGPS </w:t>
      </w:r>
      <w:r w:rsidR="00196D79">
        <w:t>f</w:t>
      </w:r>
      <w:r w:rsidR="00B02373">
        <w:t xml:space="preserve">unds should </w:t>
      </w:r>
      <w:r w:rsidR="002F2AAA">
        <w:t>determin</w:t>
      </w:r>
      <w:r w:rsidR="00B02373">
        <w:t>e</w:t>
      </w:r>
      <w:r w:rsidR="002F2AAA">
        <w:t xml:space="preserve"> employer contributions</w:t>
      </w:r>
      <w:r w:rsidR="00B02373">
        <w:t xml:space="preserve">, </w:t>
      </w:r>
      <w:r w:rsidR="00FD4967">
        <w:t>includ</w:t>
      </w:r>
      <w:r w:rsidR="00B02373">
        <w:t>ing</w:t>
      </w:r>
      <w:r w:rsidR="00FD4967">
        <w:t xml:space="preserve"> the following;</w:t>
      </w:r>
    </w:p>
    <w:p w14:paraId="7C52F837" w14:textId="75073CEC" w:rsidR="00965C53" w:rsidRDefault="00FD4967" w:rsidP="00965C53">
      <w:pPr>
        <w:pStyle w:val="BodyTextGrey"/>
        <w:numPr>
          <w:ilvl w:val="0"/>
          <w:numId w:val="12"/>
        </w:numPr>
      </w:pPr>
      <w:r>
        <w:t>Regulation 6</w:t>
      </w:r>
      <w:r w:rsidR="00697A08">
        <w:t>1</w:t>
      </w:r>
      <w:r>
        <w:t xml:space="preserve"> </w:t>
      </w:r>
      <w:r w:rsidR="00965C53">
        <w:t>(</w:t>
      </w:r>
      <w:r w:rsidR="00697A08">
        <w:t>6</w:t>
      </w:r>
      <w:r w:rsidR="00965C53">
        <w:t xml:space="preserve">) </w:t>
      </w:r>
      <w:r>
        <w:t xml:space="preserve">– </w:t>
      </w:r>
      <w:r w:rsidR="00965C53">
        <w:t xml:space="preserve">allows the </w:t>
      </w:r>
      <w:r w:rsidR="0059301F">
        <w:t xml:space="preserve">administering </w:t>
      </w:r>
      <w:r w:rsidR="00965C53">
        <w:t xml:space="preserve">authority to review the contribution rate if it becomes likely that an </w:t>
      </w:r>
      <w:r>
        <w:t>employer</w:t>
      </w:r>
      <w:r w:rsidR="00965C53">
        <w:t xml:space="preserve"> will cease participation in the fund, with a view to ensuring that the employer is fully funded at the expected exit date.</w:t>
      </w:r>
    </w:p>
    <w:p w14:paraId="471EDB2D" w14:textId="0E3F8A2F" w:rsidR="009A2C42" w:rsidRDefault="009A2C42" w:rsidP="00965C53">
      <w:pPr>
        <w:pStyle w:val="BodyTextGrey"/>
        <w:numPr>
          <w:ilvl w:val="0"/>
          <w:numId w:val="12"/>
        </w:numPr>
      </w:pPr>
      <w:r>
        <w:t xml:space="preserve">Regulation </w:t>
      </w:r>
      <w:r w:rsidR="00416730">
        <w:t xml:space="preserve">61A </w:t>
      </w:r>
      <w:r>
        <w:t xml:space="preserve">- sets </w:t>
      </w:r>
      <w:r w:rsidR="00965C53">
        <w:t xml:space="preserve">out specific circumstances where the </w:t>
      </w:r>
      <w:r>
        <w:t xml:space="preserve">administering authority </w:t>
      </w:r>
      <w:r w:rsidR="00965C53">
        <w:t>may revise contributions between valuations</w:t>
      </w:r>
      <w:r w:rsidR="003A26BA">
        <w:t xml:space="preserve"> (including where a review is requested by one or more employers)</w:t>
      </w:r>
      <w:r w:rsidR="00965C53">
        <w:t>.</w:t>
      </w:r>
      <w:r>
        <w:t xml:space="preserve"> </w:t>
      </w:r>
    </w:p>
    <w:p w14:paraId="49BEA5A2" w14:textId="77777777" w:rsidR="00196D79" w:rsidRDefault="00196D79">
      <w:pPr>
        <w:spacing w:after="20" w:line="240" w:lineRule="auto"/>
        <w:jc w:val="left"/>
        <w:rPr>
          <w:rFonts w:cs="Times New Roman"/>
          <w:iCs w:val="0"/>
          <w:color w:val="3FA6CC"/>
          <w:kern w:val="28"/>
          <w:sz w:val="36"/>
          <w:lang w:eastAsia="en-US"/>
        </w:rPr>
      </w:pPr>
      <w:r>
        <w:br w:type="page"/>
      </w:r>
    </w:p>
    <w:p w14:paraId="1F1B9057" w14:textId="293DFA78" w:rsidR="009A2C42" w:rsidRDefault="009A2C42" w:rsidP="009A2C42">
      <w:pPr>
        <w:pStyle w:val="Heading1Num"/>
      </w:pPr>
      <w:r>
        <w:lastRenderedPageBreak/>
        <w:t>Statement of principles</w:t>
      </w:r>
    </w:p>
    <w:p w14:paraId="7461D9C1" w14:textId="656E9204" w:rsidR="009A2C42" w:rsidRDefault="009A2C42" w:rsidP="009A2C42">
      <w:pPr>
        <w:pStyle w:val="BodyTextGrey"/>
      </w:pPr>
      <w:r>
        <w:t xml:space="preserve">This </w:t>
      </w:r>
      <w:r w:rsidR="00196D79">
        <w:t>s</w:t>
      </w:r>
      <w:r>
        <w:t xml:space="preserve">tatement of </w:t>
      </w:r>
      <w:r w:rsidR="00196D79">
        <w:t>p</w:t>
      </w:r>
      <w:r>
        <w:t xml:space="preserve">rinciples covers </w:t>
      </w:r>
      <w:r w:rsidR="00AA7F00">
        <w:t>review of contributions between valuations</w:t>
      </w:r>
      <w:r w:rsidR="00B02373">
        <w:t xml:space="preserve">. </w:t>
      </w:r>
      <w:r>
        <w:t>Each case will be treated on its own merits</w:t>
      </w:r>
      <w:r w:rsidR="00B02373">
        <w:t xml:space="preserve">, </w:t>
      </w:r>
      <w:r>
        <w:t>but in general:</w:t>
      </w:r>
    </w:p>
    <w:p w14:paraId="4535CB55" w14:textId="2A980198" w:rsidR="00434FC4" w:rsidRDefault="00AE57EA" w:rsidP="00965C53">
      <w:pPr>
        <w:pStyle w:val="BodyTextGrey"/>
        <w:numPr>
          <w:ilvl w:val="0"/>
          <w:numId w:val="12"/>
        </w:numPr>
      </w:pPr>
      <w:r>
        <w:t xml:space="preserve">The </w:t>
      </w:r>
      <w:r w:rsidR="00965C53">
        <w:t>administering authority reserve</w:t>
      </w:r>
      <w:r w:rsidR="003A26BA">
        <w:t>s</w:t>
      </w:r>
      <w:r w:rsidR="00965C53">
        <w:t xml:space="preserve"> the right to review contributions in line with the provisions set out in the LGPS Regulations.</w:t>
      </w:r>
    </w:p>
    <w:p w14:paraId="3BE7C879" w14:textId="6B417181" w:rsidR="00654F95" w:rsidRDefault="007059DA" w:rsidP="00965C53">
      <w:pPr>
        <w:pStyle w:val="BodyTextGrey"/>
        <w:numPr>
          <w:ilvl w:val="0"/>
          <w:numId w:val="12"/>
        </w:numPr>
      </w:pPr>
      <w:r>
        <w:t>The decision to make a change to contribution rates rests with the administering authority, subject to consultation with employers during the review period.</w:t>
      </w:r>
    </w:p>
    <w:p w14:paraId="2A12EBB4" w14:textId="48AC522E" w:rsidR="00965C53" w:rsidRDefault="00965C53" w:rsidP="00965C53">
      <w:pPr>
        <w:pStyle w:val="BodyTextGrey"/>
        <w:numPr>
          <w:ilvl w:val="0"/>
          <w:numId w:val="12"/>
        </w:numPr>
      </w:pPr>
      <w:r>
        <w:t>Full justification for any change in contribution rates will be provided to employers.</w:t>
      </w:r>
    </w:p>
    <w:p w14:paraId="00EACF6A" w14:textId="43EA5FBA" w:rsidR="00654F95" w:rsidRDefault="00965C53" w:rsidP="00965C53">
      <w:pPr>
        <w:pStyle w:val="BodyTextGrey"/>
        <w:numPr>
          <w:ilvl w:val="0"/>
          <w:numId w:val="12"/>
        </w:numPr>
      </w:pPr>
      <w:r>
        <w:t>Advice will be taken from the fund actuary in respect of any review of contribution rates.</w:t>
      </w:r>
    </w:p>
    <w:p w14:paraId="11673CA3" w14:textId="6290995E" w:rsidR="00965C53" w:rsidRDefault="00965C53" w:rsidP="00965C53">
      <w:pPr>
        <w:pStyle w:val="BodyTextGrey"/>
        <w:numPr>
          <w:ilvl w:val="0"/>
          <w:numId w:val="12"/>
        </w:numPr>
      </w:pPr>
      <w:r>
        <w:t>Any revision to contribution rates will be reflected in the Rates</w:t>
      </w:r>
      <w:r w:rsidR="00C53669">
        <w:t xml:space="preserve"> &amp;</w:t>
      </w:r>
      <w:r>
        <w:t xml:space="preserve"> Adjustment certificate.</w:t>
      </w:r>
    </w:p>
    <w:p w14:paraId="1F7BD9D6" w14:textId="48A70D95" w:rsidR="002E6E04" w:rsidRDefault="002E6E04" w:rsidP="002E6E04">
      <w:pPr>
        <w:pStyle w:val="Heading1Num"/>
      </w:pPr>
      <w:r>
        <w:t>Policy</w:t>
      </w:r>
    </w:p>
    <w:p w14:paraId="5420CC81" w14:textId="6889E2CA" w:rsidR="002E6E04" w:rsidRDefault="001405A0" w:rsidP="002E6E04">
      <w:pPr>
        <w:pStyle w:val="Heading2Num"/>
      </w:pPr>
      <w:r>
        <w:t>Circumstances for review</w:t>
      </w:r>
    </w:p>
    <w:p w14:paraId="1B491E53" w14:textId="5DE47E6A" w:rsidR="001405A0" w:rsidRDefault="001405A0" w:rsidP="002E6E04">
      <w:pPr>
        <w:pStyle w:val="BodyTextGrey"/>
      </w:pPr>
      <w:r w:rsidRPr="000966D8">
        <w:t xml:space="preserve">The </w:t>
      </w:r>
      <w:r w:rsidR="00196D79">
        <w:t>f</w:t>
      </w:r>
      <w:r w:rsidRPr="000966D8">
        <w:t xml:space="preserve">und would consider the following circumstances as a potential trigger for review: </w:t>
      </w:r>
    </w:p>
    <w:p w14:paraId="2EE35891" w14:textId="28738605" w:rsidR="001405A0" w:rsidRPr="000966D8" w:rsidRDefault="001405A0" w:rsidP="00965C53">
      <w:pPr>
        <w:pStyle w:val="BodyTextGrey"/>
        <w:numPr>
          <w:ilvl w:val="0"/>
          <w:numId w:val="12"/>
        </w:numPr>
      </w:pPr>
      <w:r w:rsidRPr="000966D8">
        <w:t xml:space="preserve">in the opinion of an </w:t>
      </w:r>
      <w:r w:rsidR="00C53669">
        <w:t>a</w:t>
      </w:r>
      <w:r w:rsidRPr="000966D8">
        <w:t xml:space="preserve">dministering </w:t>
      </w:r>
      <w:r w:rsidR="00C53669">
        <w:t>a</w:t>
      </w:r>
      <w:r w:rsidRPr="000966D8">
        <w:t>uthority there are circumstances which make it likely that an employer (including an admission body) will become an exiting employer sooner than anticipated at the last valuation;</w:t>
      </w:r>
    </w:p>
    <w:p w14:paraId="62C98818" w14:textId="393F2B8E" w:rsidR="001405A0" w:rsidRPr="000966D8" w:rsidRDefault="001405A0" w:rsidP="00965C53">
      <w:pPr>
        <w:pStyle w:val="BodyTextGrey"/>
        <w:numPr>
          <w:ilvl w:val="0"/>
          <w:numId w:val="12"/>
        </w:numPr>
      </w:pPr>
      <w:r w:rsidRPr="000966D8">
        <w:t xml:space="preserve">an employer is approaching exit from the </w:t>
      </w:r>
      <w:r w:rsidR="007059DA">
        <w:t>f</w:t>
      </w:r>
      <w:r w:rsidR="003A26BA">
        <w:t>und</w:t>
      </w:r>
      <w:r w:rsidR="003A26BA" w:rsidRPr="000966D8">
        <w:t xml:space="preserve"> </w:t>
      </w:r>
      <w:r w:rsidRPr="000966D8">
        <w:t xml:space="preserve">within the </w:t>
      </w:r>
      <w:r w:rsidRPr="00BA4651">
        <w:t>next two years</w:t>
      </w:r>
      <w:r w:rsidRPr="000966D8">
        <w:t xml:space="preserve"> and before completion of the next </w:t>
      </w:r>
      <w:r w:rsidR="003A26BA">
        <w:t xml:space="preserve">triennial </w:t>
      </w:r>
      <w:r w:rsidRPr="000966D8">
        <w:t xml:space="preserve">valuation; </w:t>
      </w:r>
    </w:p>
    <w:p w14:paraId="3312ECF7" w14:textId="280D50F5" w:rsidR="001405A0" w:rsidRPr="000966D8" w:rsidRDefault="001405A0" w:rsidP="00965C53">
      <w:pPr>
        <w:pStyle w:val="BodyTextGrey"/>
        <w:numPr>
          <w:ilvl w:val="0"/>
          <w:numId w:val="12"/>
        </w:numPr>
      </w:pPr>
      <w:r w:rsidRPr="000966D8">
        <w:t>there are changes to the benefit structure set out in the LGPS Regulations which have not been allowed for at the last valuation;</w:t>
      </w:r>
    </w:p>
    <w:p w14:paraId="78199E36" w14:textId="6075A349" w:rsidR="001405A0" w:rsidRPr="000966D8" w:rsidRDefault="001405A0" w:rsidP="00965C53">
      <w:pPr>
        <w:pStyle w:val="BodyTextGrey"/>
        <w:numPr>
          <w:ilvl w:val="0"/>
          <w:numId w:val="12"/>
        </w:numPr>
      </w:pPr>
      <w:r w:rsidRPr="000966D8">
        <w:t xml:space="preserve">it appears likely to the </w:t>
      </w:r>
      <w:hyperlink r:id="rId12" w:anchor="s1adau" w:history="1">
        <w:r w:rsidR="00C53669">
          <w:t>administering</w:t>
        </w:r>
      </w:hyperlink>
      <w:r w:rsidR="00C53669">
        <w:t xml:space="preserve"> authority</w:t>
      </w:r>
      <w:r w:rsidRPr="000966D8">
        <w:t xml:space="preserve"> that the amount of the liabilities arising or likely to arise for an employer or employers has changed significantly since the last valuation;</w:t>
      </w:r>
    </w:p>
    <w:p w14:paraId="09D77FB2" w14:textId="4776A9F2" w:rsidR="001405A0" w:rsidRPr="000966D8" w:rsidRDefault="001405A0" w:rsidP="00965C53">
      <w:pPr>
        <w:pStyle w:val="BodyTextGrey"/>
        <w:numPr>
          <w:ilvl w:val="0"/>
          <w:numId w:val="12"/>
        </w:numPr>
      </w:pPr>
      <w:r w:rsidRPr="000966D8">
        <w:t xml:space="preserve">it appears likely to the </w:t>
      </w:r>
      <w:r w:rsidR="00C53669">
        <w:t>a</w:t>
      </w:r>
      <w:r w:rsidRPr="000966D8">
        <w:t xml:space="preserve">dministering </w:t>
      </w:r>
      <w:r w:rsidR="00C53669">
        <w:t>a</w:t>
      </w:r>
      <w:r w:rsidRPr="000966D8">
        <w:t>uthority that there has been a significant change in the ability of an employer or employers to meet their obligations (</w:t>
      </w:r>
      <w:r w:rsidR="003A26BA">
        <w:t xml:space="preserve">e.g. </w:t>
      </w:r>
      <w:r w:rsidRPr="000966D8">
        <w:t>a material change in employer covenant</w:t>
      </w:r>
      <w:r w:rsidR="005E21B2">
        <w:t>, or provision of additional security</w:t>
      </w:r>
      <w:r w:rsidRPr="000966D8">
        <w:t xml:space="preserve">); </w:t>
      </w:r>
    </w:p>
    <w:p w14:paraId="2B4A8FBB" w14:textId="1640184B" w:rsidR="001405A0" w:rsidRPr="000966D8" w:rsidRDefault="001405A0" w:rsidP="00965C53">
      <w:pPr>
        <w:pStyle w:val="BodyTextGrey"/>
        <w:numPr>
          <w:ilvl w:val="0"/>
          <w:numId w:val="12"/>
        </w:numPr>
      </w:pPr>
      <w:r w:rsidRPr="000966D8">
        <w:t xml:space="preserve">it appears to the </w:t>
      </w:r>
      <w:r w:rsidR="00C53669">
        <w:t>a</w:t>
      </w:r>
      <w:r w:rsidRPr="000966D8">
        <w:t xml:space="preserve">dministering </w:t>
      </w:r>
      <w:r w:rsidR="00C53669">
        <w:t>a</w:t>
      </w:r>
      <w:r w:rsidRPr="000966D8">
        <w:t xml:space="preserve">uthority that the membership of the employer has changed materially such as bulk transfers, significant reductions to payroll or large-scale restructuring; or </w:t>
      </w:r>
    </w:p>
    <w:p w14:paraId="614C84B7" w14:textId="0FBD8E27" w:rsidR="004C57C9" w:rsidRDefault="001405A0" w:rsidP="004C57C9">
      <w:pPr>
        <w:pStyle w:val="BodyTextGrey"/>
        <w:numPr>
          <w:ilvl w:val="0"/>
          <w:numId w:val="12"/>
        </w:numPr>
      </w:pPr>
      <w:r w:rsidRPr="000966D8">
        <w:t xml:space="preserve">where an employer has failed to pay contributions or has not arranged appropriate security as required by the </w:t>
      </w:r>
      <w:r w:rsidR="00C53669">
        <w:t>a</w:t>
      </w:r>
      <w:r w:rsidRPr="000966D8">
        <w:t xml:space="preserve">dministering </w:t>
      </w:r>
      <w:r w:rsidR="00C53669">
        <w:t>a</w:t>
      </w:r>
      <w:r w:rsidRPr="000966D8">
        <w:t>uthority.</w:t>
      </w:r>
    </w:p>
    <w:p w14:paraId="04B38EBC" w14:textId="24A91171" w:rsidR="001405A0" w:rsidRPr="001405A0" w:rsidRDefault="001405A0" w:rsidP="001405A0">
      <w:pPr>
        <w:pStyle w:val="Heading2Num"/>
      </w:pPr>
      <w:r>
        <w:t xml:space="preserve">Employer requests </w:t>
      </w:r>
    </w:p>
    <w:p w14:paraId="091C4F2F" w14:textId="21D295FB" w:rsidR="001405A0" w:rsidRDefault="001405A0" w:rsidP="001405A0">
      <w:pPr>
        <w:pStyle w:val="BodyTextGrey"/>
      </w:pPr>
      <w:r w:rsidRPr="001405A0">
        <w:t xml:space="preserve">The </w:t>
      </w:r>
      <w:r w:rsidR="00C53669">
        <w:t>a</w:t>
      </w:r>
      <w:r w:rsidRPr="001405A0">
        <w:t xml:space="preserve">dministering </w:t>
      </w:r>
      <w:r w:rsidR="00C53669">
        <w:t>a</w:t>
      </w:r>
      <w:r w:rsidRPr="001405A0">
        <w:t xml:space="preserve">uthority will also consider a request from any employer to review contributions where the employer has undertaken to meet the costs of that review and sets out the reasoning for the review (which would be expected to fall into one of the above categories, such as a belief that their covenant has changed </w:t>
      </w:r>
      <w:r w:rsidR="00AA00AA" w:rsidRPr="001405A0">
        <w:t>materially,</w:t>
      </w:r>
      <w:r w:rsidRPr="001405A0">
        <w:t xml:space="preserve"> or they are going through a significant restructuring impacting their membership).</w:t>
      </w:r>
    </w:p>
    <w:p w14:paraId="1A836648" w14:textId="7C11F584" w:rsidR="000648B6" w:rsidRDefault="000648B6" w:rsidP="004C57C9">
      <w:pPr>
        <w:pStyle w:val="BodyTextGrey"/>
      </w:pPr>
      <w:r>
        <w:t>T</w:t>
      </w:r>
      <w:r w:rsidR="004C57C9">
        <w:t xml:space="preserve">he administering authority will require additional information to support </w:t>
      </w:r>
      <w:r>
        <w:t>a contribution review made at the employer’s request.  The specific requirements will be confirmed following any request and this is likely to include the following:</w:t>
      </w:r>
    </w:p>
    <w:p w14:paraId="240629CA" w14:textId="4819828F" w:rsidR="000648B6" w:rsidRDefault="004C57C9" w:rsidP="000648B6">
      <w:pPr>
        <w:pStyle w:val="BodyTextGrey"/>
        <w:numPr>
          <w:ilvl w:val="0"/>
          <w:numId w:val="12"/>
        </w:numPr>
      </w:pPr>
      <w:r>
        <w:lastRenderedPageBreak/>
        <w:t xml:space="preserve">a copy of the </w:t>
      </w:r>
      <w:r w:rsidRPr="00D56D22">
        <w:t>latest accounts</w:t>
      </w:r>
      <w:r w:rsidR="000648B6">
        <w:t>;</w:t>
      </w:r>
      <w:r w:rsidRPr="00D56D22">
        <w:t xml:space="preserve"> </w:t>
      </w:r>
    </w:p>
    <w:p w14:paraId="78E05226" w14:textId="77777777" w:rsidR="000648B6" w:rsidRDefault="004C57C9" w:rsidP="000648B6">
      <w:pPr>
        <w:pStyle w:val="BodyTextGrey"/>
        <w:numPr>
          <w:ilvl w:val="0"/>
          <w:numId w:val="12"/>
        </w:numPr>
      </w:pPr>
      <w:r w:rsidRPr="00D56D22">
        <w:t>details of any additional security being offered (which may include insurance certificates)</w:t>
      </w:r>
      <w:r w:rsidR="000648B6">
        <w:t>;</w:t>
      </w:r>
    </w:p>
    <w:p w14:paraId="0A4B079C" w14:textId="77777777" w:rsidR="000648B6" w:rsidRDefault="004C57C9" w:rsidP="000648B6">
      <w:pPr>
        <w:pStyle w:val="BodyTextGrey"/>
        <w:numPr>
          <w:ilvl w:val="0"/>
          <w:numId w:val="12"/>
        </w:numPr>
      </w:pPr>
      <w:r w:rsidRPr="00D56D22">
        <w:t>budget forecasts</w:t>
      </w:r>
      <w:r w:rsidR="000648B6">
        <w:t>; and/or</w:t>
      </w:r>
    </w:p>
    <w:p w14:paraId="13C834DA" w14:textId="77777777" w:rsidR="000648B6" w:rsidRDefault="004C57C9" w:rsidP="00426F34">
      <w:pPr>
        <w:pStyle w:val="BodyTextGrey"/>
        <w:numPr>
          <w:ilvl w:val="0"/>
          <w:numId w:val="12"/>
        </w:numPr>
      </w:pPr>
      <w:r w:rsidRPr="00D56D22">
        <w:t>information relating to sources of funding</w:t>
      </w:r>
      <w:r w:rsidR="000648B6">
        <w:t>.</w:t>
      </w:r>
    </w:p>
    <w:p w14:paraId="151FA07F" w14:textId="092D4B26" w:rsidR="004C57C9" w:rsidRDefault="000648B6" w:rsidP="000648B6">
      <w:pPr>
        <w:pStyle w:val="BodyTextGrey"/>
      </w:pPr>
      <w:r>
        <w:t>The costs incurred by the administering authority in carrying out a contribution review (at the employer’s request) will be met by the employer.</w:t>
      </w:r>
      <w:r w:rsidR="00AA00AA">
        <w:t xml:space="preserve"> </w:t>
      </w:r>
      <w:r>
        <w:t xml:space="preserve">These will be confirmed </w:t>
      </w:r>
      <w:r w:rsidR="004C57C9" w:rsidRPr="00D56D22">
        <w:t>upfront to the employer prior to the review taking place</w:t>
      </w:r>
      <w:r>
        <w:t>.</w:t>
      </w:r>
    </w:p>
    <w:p w14:paraId="49D7EEEE" w14:textId="77777777" w:rsidR="00AA00AA" w:rsidRDefault="00AA00AA" w:rsidP="00AA00AA">
      <w:pPr>
        <w:pStyle w:val="Heading2Num"/>
      </w:pPr>
      <w:r>
        <w:t>Other employers</w:t>
      </w:r>
    </w:p>
    <w:p w14:paraId="7BF5EB76" w14:textId="77777777" w:rsidR="00AA00AA" w:rsidRPr="00FD0A45" w:rsidRDefault="00AA00AA" w:rsidP="00AA00AA">
      <w:pPr>
        <w:pStyle w:val="BodyTextGrey"/>
      </w:pPr>
      <w:r w:rsidRPr="00FD0A45">
        <w:t xml:space="preserve">When undertaking </w:t>
      </w:r>
      <w:r>
        <w:t>any review of contributions</w:t>
      </w:r>
      <w:r w:rsidRPr="00FD0A45">
        <w:t xml:space="preserve">, the administering authority will also consider the impact of a change to contribution rates on other </w:t>
      </w:r>
      <w:r>
        <w:t>f</w:t>
      </w:r>
      <w:r w:rsidRPr="00FD0A45">
        <w:t xml:space="preserve">und employers. This will include </w:t>
      </w:r>
      <w:r>
        <w:t xml:space="preserve">the following </w:t>
      </w:r>
      <w:r w:rsidRPr="00FD0A45">
        <w:t>factors:</w:t>
      </w:r>
    </w:p>
    <w:p w14:paraId="24570741" w14:textId="77777777" w:rsidR="00AA00AA" w:rsidRDefault="00AA00AA" w:rsidP="00AA00AA">
      <w:pPr>
        <w:pStyle w:val="BodyTextGrey"/>
        <w:numPr>
          <w:ilvl w:val="0"/>
          <w:numId w:val="12"/>
        </w:numPr>
      </w:pPr>
      <w:r>
        <w:t xml:space="preserve">The existence of a </w:t>
      </w:r>
      <w:r w:rsidRPr="00FD0A45">
        <w:t>guarantor</w:t>
      </w:r>
      <w:r>
        <w:t>.</w:t>
      </w:r>
    </w:p>
    <w:p w14:paraId="39BE05FB" w14:textId="77777777" w:rsidR="00AA00AA" w:rsidRDefault="00AA00AA" w:rsidP="00AA00AA">
      <w:pPr>
        <w:pStyle w:val="BodyTextGrey"/>
        <w:numPr>
          <w:ilvl w:val="0"/>
          <w:numId w:val="12"/>
        </w:numPr>
      </w:pPr>
      <w:r>
        <w:t>T</w:t>
      </w:r>
      <w:r w:rsidRPr="00FD0A45">
        <w:t>he amount of any other security held</w:t>
      </w:r>
      <w:r>
        <w:t>.</w:t>
      </w:r>
    </w:p>
    <w:p w14:paraId="49F83EF5" w14:textId="77777777" w:rsidR="00AA00AA" w:rsidRDefault="00AA00AA" w:rsidP="00AA00AA">
      <w:pPr>
        <w:pStyle w:val="BodyTextGrey"/>
        <w:numPr>
          <w:ilvl w:val="0"/>
          <w:numId w:val="12"/>
        </w:numPr>
      </w:pPr>
      <w:r>
        <w:t>T</w:t>
      </w:r>
      <w:r w:rsidRPr="00FD0A45">
        <w:t xml:space="preserve">he size of the employer’s liabilities </w:t>
      </w:r>
      <w:r>
        <w:t>relative to the whole fund.</w:t>
      </w:r>
    </w:p>
    <w:p w14:paraId="53940F80" w14:textId="77777777" w:rsidR="00AA00AA" w:rsidRDefault="00AA00AA" w:rsidP="00AA00AA">
      <w:pPr>
        <w:pStyle w:val="BodyTextGrey"/>
      </w:pPr>
      <w:r>
        <w:t>The administering authority will consult with other fund employers as necessary.</w:t>
      </w:r>
    </w:p>
    <w:p w14:paraId="3534EF4E" w14:textId="682C6808" w:rsidR="001405A0" w:rsidRPr="001405A0" w:rsidRDefault="001405A0" w:rsidP="001405A0">
      <w:pPr>
        <w:pStyle w:val="Heading2Num"/>
        <w:rPr>
          <w:color w:val="45545F"/>
        </w:rPr>
      </w:pPr>
      <w:r>
        <w:t xml:space="preserve">Effect of market volatility </w:t>
      </w:r>
    </w:p>
    <w:p w14:paraId="16CC9A87" w14:textId="37569B0C" w:rsidR="001405A0" w:rsidRDefault="001405A0" w:rsidP="001405A0">
      <w:pPr>
        <w:pStyle w:val="BodyTextGrey"/>
        <w:rPr>
          <w:rFonts w:eastAsia="Arial"/>
          <w:color w:val="45545F"/>
        </w:rPr>
      </w:pPr>
      <w:r w:rsidRPr="004B478B">
        <w:rPr>
          <w:color w:val="45545F"/>
        </w:rPr>
        <w:t xml:space="preserve">Except in circumstances such as an employer nearing cessation, the </w:t>
      </w:r>
      <w:r w:rsidR="00C53669">
        <w:rPr>
          <w:color w:val="45545F"/>
        </w:rPr>
        <w:t>a</w:t>
      </w:r>
      <w:r w:rsidRPr="004B478B">
        <w:rPr>
          <w:color w:val="45545F"/>
        </w:rPr>
        <w:t xml:space="preserve">dministering </w:t>
      </w:r>
      <w:r w:rsidR="00C53669">
        <w:rPr>
          <w:color w:val="45545F"/>
        </w:rPr>
        <w:t>a</w:t>
      </w:r>
      <w:r w:rsidRPr="004B478B">
        <w:rPr>
          <w:color w:val="45545F"/>
        </w:rPr>
        <w:t>uthority will not consider market volatility or changes to asset values as a basis for a change in contributions outside a formal valuation.</w:t>
      </w:r>
      <w:r w:rsidRPr="004B478B">
        <w:rPr>
          <w:rFonts w:eastAsia="Arial"/>
          <w:color w:val="45545F"/>
        </w:rPr>
        <w:t xml:space="preserve"> </w:t>
      </w:r>
    </w:p>
    <w:p w14:paraId="026BFE3D" w14:textId="569412EE" w:rsidR="002E6E04" w:rsidRDefault="002E6E04" w:rsidP="002E6E04">
      <w:pPr>
        <w:pStyle w:val="Heading2Num"/>
      </w:pPr>
      <w:r>
        <w:t>Documentation</w:t>
      </w:r>
    </w:p>
    <w:p w14:paraId="02754ECE" w14:textId="27CFF91C" w:rsidR="00384FCA" w:rsidRDefault="00C53669" w:rsidP="00384FCA">
      <w:pPr>
        <w:pStyle w:val="BodyTextGrey"/>
      </w:pPr>
      <w:r>
        <w:t>Where revisions to contribution rates are necessary, t</w:t>
      </w:r>
      <w:r w:rsidR="00384FCA">
        <w:t xml:space="preserve">he </w:t>
      </w:r>
      <w:r w:rsidR="00196D79">
        <w:t>f</w:t>
      </w:r>
      <w:r w:rsidR="00384FCA">
        <w:t xml:space="preserve">und will provide the employer with a note of the information used to determine </w:t>
      </w:r>
      <w:r>
        <w:t>these, i</w:t>
      </w:r>
      <w:r w:rsidR="00384FCA">
        <w:t>ncluding:</w:t>
      </w:r>
    </w:p>
    <w:p w14:paraId="5DDA2EAF" w14:textId="46E5D64E" w:rsidR="00C53669" w:rsidRDefault="00C53669" w:rsidP="00D56D22">
      <w:pPr>
        <w:pStyle w:val="BodyTextGrey"/>
        <w:numPr>
          <w:ilvl w:val="0"/>
          <w:numId w:val="12"/>
        </w:numPr>
      </w:pPr>
      <w:r>
        <w:t>Explanation of the key factors leading to the need for a review of the contribution rates, including, if appropriate, the updated funding position.</w:t>
      </w:r>
    </w:p>
    <w:p w14:paraId="69DA2501" w14:textId="5F9826A5" w:rsidR="00C53669" w:rsidRDefault="00C53669" w:rsidP="00D56D22">
      <w:pPr>
        <w:pStyle w:val="BodyTextGrey"/>
        <w:numPr>
          <w:ilvl w:val="0"/>
          <w:numId w:val="12"/>
        </w:numPr>
      </w:pPr>
      <w:r>
        <w:t>A note of the new contribution rates and effective date of these</w:t>
      </w:r>
      <w:r w:rsidR="000648B6">
        <w:t>.</w:t>
      </w:r>
    </w:p>
    <w:p w14:paraId="75105718" w14:textId="135283D4" w:rsidR="00384FCA" w:rsidRDefault="00C53669" w:rsidP="00D56D22">
      <w:pPr>
        <w:pStyle w:val="BodyTextGrey"/>
        <w:numPr>
          <w:ilvl w:val="0"/>
          <w:numId w:val="12"/>
        </w:numPr>
      </w:pPr>
      <w:r>
        <w:t>Date of next review</w:t>
      </w:r>
      <w:r w:rsidR="000648B6">
        <w:t>.</w:t>
      </w:r>
    </w:p>
    <w:p w14:paraId="195D7BB0" w14:textId="33FABE5C" w:rsidR="000648B6" w:rsidRDefault="000648B6" w:rsidP="00D56D22">
      <w:pPr>
        <w:pStyle w:val="BodyTextGrey"/>
        <w:numPr>
          <w:ilvl w:val="0"/>
          <w:numId w:val="12"/>
        </w:numPr>
      </w:pPr>
      <w:r>
        <w:t xml:space="preserve">Details of any processes in place to monitor any change in the employer’s circumstances (if appropriate), including information required by the administering authority to carry out this monitoring. </w:t>
      </w:r>
    </w:p>
    <w:p w14:paraId="446A909A" w14:textId="3ED9FFFA" w:rsidR="00C53669" w:rsidRDefault="00C53669" w:rsidP="00C53669">
      <w:pPr>
        <w:pStyle w:val="BodyTextGrey"/>
      </w:pPr>
      <w:r>
        <w:t>The Rates &amp; Adjustments certificate will be updated to reflect the revised contribution rates.</w:t>
      </w:r>
    </w:p>
    <w:p w14:paraId="33664E8D" w14:textId="7089AEBA" w:rsidR="00424C77" w:rsidRDefault="0099735C" w:rsidP="00441833">
      <w:pPr>
        <w:pStyle w:val="Heading1Num"/>
      </w:pPr>
      <w:bookmarkStart w:id="17" w:name="_Toc86162860"/>
      <w:r>
        <w:t>Related Policies</w:t>
      </w:r>
      <w:bookmarkStart w:id="18" w:name="AppendixE"/>
      <w:bookmarkEnd w:id="17"/>
      <w:bookmarkEnd w:id="18"/>
    </w:p>
    <w:p w14:paraId="2F995F3D" w14:textId="77777777" w:rsidR="00022F9C" w:rsidRPr="0099735C" w:rsidRDefault="00022F9C" w:rsidP="00022F9C">
      <w:pPr>
        <w:pStyle w:val="Heading1Num"/>
        <w:numPr>
          <w:ilvl w:val="0"/>
          <w:numId w:val="0"/>
        </w:numPr>
        <w:spacing w:before="20" w:after="200" w:line="280" w:lineRule="atLeast"/>
      </w:pPr>
      <w:r w:rsidRPr="00B02373">
        <w:rPr>
          <w:rFonts w:cs="Arial"/>
          <w:iCs/>
          <w:color w:val="455560" w:themeColor="accent5"/>
          <w:kern w:val="0"/>
          <w:sz w:val="20"/>
        </w:rPr>
        <w:t xml:space="preserve">The </w:t>
      </w:r>
      <w:r>
        <w:rPr>
          <w:rFonts w:cs="Arial"/>
          <w:iCs/>
          <w:color w:val="455560" w:themeColor="accent5"/>
          <w:kern w:val="0"/>
          <w:sz w:val="20"/>
        </w:rPr>
        <w:t>f</w:t>
      </w:r>
      <w:r w:rsidRPr="00B02373">
        <w:rPr>
          <w:rFonts w:cs="Arial"/>
          <w:iCs/>
          <w:color w:val="455560" w:themeColor="accent5"/>
          <w:kern w:val="0"/>
          <w:sz w:val="20"/>
        </w:rPr>
        <w:t>und’s approach to setting employer contribution rates is set</w:t>
      </w:r>
      <w:r>
        <w:rPr>
          <w:rFonts w:cs="Arial"/>
          <w:iCs/>
          <w:color w:val="455560" w:themeColor="accent5"/>
          <w:kern w:val="0"/>
          <w:sz w:val="20"/>
        </w:rPr>
        <w:t xml:space="preserve"> </w:t>
      </w:r>
      <w:r w:rsidRPr="00B02373">
        <w:rPr>
          <w:rFonts w:cs="Arial"/>
          <w:iCs/>
          <w:color w:val="455560" w:themeColor="accent5"/>
          <w:kern w:val="0"/>
          <w:sz w:val="20"/>
        </w:rPr>
        <w:t>out</w:t>
      </w:r>
      <w:r>
        <w:rPr>
          <w:rFonts w:cs="Arial"/>
          <w:iCs/>
          <w:color w:val="455560" w:themeColor="accent5"/>
          <w:kern w:val="0"/>
          <w:sz w:val="20"/>
        </w:rPr>
        <w:t xml:space="preserve"> </w:t>
      </w:r>
      <w:r w:rsidRPr="00B02373">
        <w:rPr>
          <w:rFonts w:cs="Arial"/>
          <w:iCs/>
          <w:color w:val="455560" w:themeColor="accent5"/>
          <w:kern w:val="0"/>
          <w:sz w:val="20"/>
        </w:rPr>
        <w:t xml:space="preserve">in the Funding Strategy </w:t>
      </w:r>
      <w:r>
        <w:rPr>
          <w:rFonts w:cs="Arial"/>
          <w:iCs/>
          <w:color w:val="455560" w:themeColor="accent5"/>
          <w:kern w:val="0"/>
          <w:sz w:val="20"/>
        </w:rPr>
        <w:t>S</w:t>
      </w:r>
      <w:r w:rsidRPr="00B02373">
        <w:rPr>
          <w:rFonts w:cs="Arial"/>
          <w:iCs/>
          <w:color w:val="455560" w:themeColor="accent5"/>
          <w:kern w:val="0"/>
          <w:sz w:val="20"/>
        </w:rPr>
        <w:t xml:space="preserve">tatement, </w:t>
      </w:r>
      <w:r w:rsidRPr="00624F7E">
        <w:rPr>
          <w:rFonts w:cs="Arial"/>
          <w:iCs/>
          <w:color w:val="455560" w:themeColor="accent5"/>
          <w:kern w:val="0"/>
          <w:sz w:val="20"/>
        </w:rPr>
        <w:t xml:space="preserve">specifically “Section 2 – </w:t>
      </w:r>
      <w:bookmarkStart w:id="19" w:name="_Toc110255237"/>
      <w:bookmarkStart w:id="20" w:name="_Toc86162843"/>
      <w:r w:rsidRPr="00624F7E">
        <w:rPr>
          <w:rFonts w:cs="Arial"/>
          <w:iCs/>
          <w:color w:val="455560" w:themeColor="accent5"/>
          <w:kern w:val="0"/>
          <w:sz w:val="20"/>
        </w:rPr>
        <w:t>How</w:t>
      </w:r>
      <w:r w:rsidRPr="00B02373">
        <w:rPr>
          <w:rFonts w:cs="Arial"/>
          <w:iCs/>
          <w:color w:val="455560" w:themeColor="accent5"/>
          <w:kern w:val="0"/>
          <w:sz w:val="20"/>
        </w:rPr>
        <w:t xml:space="preserve"> does the fund calculate employer contributions?</w:t>
      </w:r>
      <w:bookmarkEnd w:id="19"/>
      <w:bookmarkEnd w:id="20"/>
      <w:r>
        <w:rPr>
          <w:rFonts w:cs="Arial"/>
          <w:iCs/>
          <w:color w:val="455560" w:themeColor="accent5"/>
          <w:kern w:val="0"/>
          <w:sz w:val="20"/>
        </w:rPr>
        <w:t>”.</w:t>
      </w:r>
    </w:p>
    <w:p w14:paraId="324B02B2" w14:textId="77777777" w:rsidR="00022F9C" w:rsidRPr="007059DA" w:rsidRDefault="00022F9C" w:rsidP="00022F9C">
      <w:pPr>
        <w:pStyle w:val="BodyTextGrey"/>
      </w:pPr>
    </w:p>
    <w:sectPr w:rsidR="00022F9C" w:rsidRPr="007059DA" w:rsidSect="00E57572">
      <w:headerReference w:type="default" r:id="rId13"/>
      <w:footerReference w:type="default" r:id="rId14"/>
      <w:pgSz w:w="11906" w:h="16838" w:code="9"/>
      <w:pgMar w:top="1814" w:right="851" w:bottom="1134" w:left="1134" w:header="720" w:footer="2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91D54" w14:textId="77777777" w:rsidR="00116248" w:rsidRDefault="00116248" w:rsidP="004B7C6A">
      <w:pPr>
        <w:spacing w:line="240" w:lineRule="auto"/>
      </w:pPr>
      <w:r>
        <w:separator/>
      </w:r>
    </w:p>
  </w:endnote>
  <w:endnote w:type="continuationSeparator" w:id="0">
    <w:p w14:paraId="0A4B93B1" w14:textId="77777777" w:rsidR="00116248" w:rsidRDefault="00116248" w:rsidP="004B7C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LT">
    <w:altName w:val="Times New Roman"/>
    <w:charset w:val="00"/>
    <w:family w:val="auto"/>
    <w:pitch w:val="variable"/>
    <w:sig w:usb0="8000002F" w:usb1="0000004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FSLola-Bold">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B18E" w14:textId="0D40D816" w:rsidR="00773FF9" w:rsidRPr="00D63229" w:rsidRDefault="00C53669" w:rsidP="005E4BE7">
    <w:pPr>
      <w:pStyle w:val="FooterText"/>
      <w:pBdr>
        <w:top w:val="single" w:sz="2" w:space="8" w:color="646464"/>
      </w:pBdr>
      <w:tabs>
        <w:tab w:val="right" w:pos="9921"/>
      </w:tabs>
      <w:spacing w:before="60" w:after="60" w:line="240" w:lineRule="auto"/>
      <w:ind w:left="28"/>
      <w:contextualSpacing/>
      <w:rPr>
        <w:color w:val="3FA6CC" w:themeColor="accent1"/>
      </w:rPr>
    </w:pPr>
    <w:r>
      <w:rPr>
        <w:color w:val="3FA6CC" w:themeColor="accent1"/>
      </w:rPr>
      <w:t>DATE</w:t>
    </w:r>
    <w:r w:rsidR="00773FF9" w:rsidRPr="00D63229">
      <w:rPr>
        <w:color w:val="3FA6CC" w:themeColor="accent1"/>
      </w:rPr>
      <w:tab/>
    </w:r>
  </w:p>
  <w:p w14:paraId="6E4575FD" w14:textId="6617563A" w:rsidR="00773FF9" w:rsidRPr="00CA166B" w:rsidRDefault="00773FF9" w:rsidP="005E4BE7">
    <w:pPr>
      <w:pStyle w:val="Filepath"/>
      <w:spacing w:afterLines="80" w:after="192" w:line="240" w:lineRule="auto"/>
      <w:ind w:left="28"/>
      <w:rPr>
        <w:noProof/>
        <w:color w:val="455560"/>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630F1" w14:textId="77777777" w:rsidR="00116248" w:rsidRDefault="00116248" w:rsidP="004B7C6A">
      <w:pPr>
        <w:spacing w:line="240" w:lineRule="auto"/>
      </w:pPr>
      <w:r>
        <w:separator/>
      </w:r>
    </w:p>
  </w:footnote>
  <w:footnote w:type="continuationSeparator" w:id="0">
    <w:p w14:paraId="18C050DB" w14:textId="77777777" w:rsidR="00116248" w:rsidRDefault="00116248" w:rsidP="004B7C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347B" w14:textId="152A08CD" w:rsidR="00773FF9" w:rsidRPr="004D2949" w:rsidRDefault="00773FF9" w:rsidP="004F4319">
    <w:pPr>
      <w:pStyle w:val="Header"/>
      <w:tabs>
        <w:tab w:val="clear" w:pos="57"/>
        <w:tab w:val="left" w:pos="709"/>
        <w:tab w:val="right" w:pos="9924"/>
      </w:tabs>
      <w:ind w:left="709"/>
      <w:rPr>
        <w:rStyle w:val="HeaderTextBlue"/>
        <w:caps w:val="0"/>
      </w:rPr>
    </w:pPr>
    <w:r>
      <w:rPr>
        <w:iCs w:val="0"/>
        <w:caps w:val="0"/>
        <w:noProof/>
        <w:color w:val="455560"/>
      </w:rPr>
      <mc:AlternateContent>
        <mc:Choice Requires="wps">
          <w:drawing>
            <wp:anchor distT="0" distB="0" distL="114300" distR="114300" simplePos="0" relativeHeight="251657216" behindDoc="1" locked="0" layoutInCell="1" allowOverlap="1" wp14:anchorId="7D5B700F" wp14:editId="37E6E9E2">
              <wp:simplePos x="0" y="0"/>
              <wp:positionH relativeFrom="column">
                <wp:posOffset>-851584</wp:posOffset>
              </wp:positionH>
              <wp:positionV relativeFrom="paragraph">
                <wp:posOffset>-518160</wp:posOffset>
              </wp:positionV>
              <wp:extent cx="1749669" cy="1994535"/>
              <wp:effectExtent l="0" t="0" r="0" b="5715"/>
              <wp:wrapNone/>
              <wp:docPr id="10" name="Text Box 10"/>
              <wp:cNvGraphicFramePr/>
              <a:graphic xmlns:a="http://schemas.openxmlformats.org/drawingml/2006/main">
                <a:graphicData uri="http://schemas.microsoft.com/office/word/2010/wordprocessingShape">
                  <wps:wsp>
                    <wps:cNvSpPr txBox="1"/>
                    <wps:spPr>
                      <a:xfrm>
                        <a:off x="0" y="0"/>
                        <a:ext cx="1749669" cy="1994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28058D" w14:textId="77777777" w:rsidR="00773FF9" w:rsidRDefault="00773FF9" w:rsidP="004F4319">
                          <w:pPr>
                            <w:ind w:left="-28" w:right="1688"/>
                          </w:pPr>
                          <w:r>
                            <w:rPr>
                              <w:noProof/>
                            </w:rPr>
                            <w:drawing>
                              <wp:inline distT="0" distB="0" distL="0" distR="0" wp14:anchorId="2944EED0" wp14:editId="548A6812">
                                <wp:extent cx="1565031" cy="151701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xty_second_cont.jpg"/>
                                        <pic:cNvPicPr/>
                                      </pic:nvPicPr>
                                      <pic:blipFill rotWithShape="1">
                                        <a:blip r:embed="rId1" cstate="print">
                                          <a:extLst>
                                            <a:ext uri="{28A0092B-C50C-407E-A947-70E740481C1C}">
                                              <a14:useLocalDpi xmlns:a14="http://schemas.microsoft.com/office/drawing/2010/main" val="0"/>
                                            </a:ext>
                                          </a:extLst>
                                        </a:blip>
                                        <a:srcRect l="26757"/>
                                        <a:stretch/>
                                      </pic:blipFill>
                                      <pic:spPr bwMode="auto">
                                        <a:xfrm flipH="1">
                                          <a:off x="0" y="0"/>
                                          <a:ext cx="1573577" cy="152529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B700F" id="_x0000_t202" coordsize="21600,21600" o:spt="202" path="m,l,21600r21600,l21600,xe">
              <v:stroke joinstyle="miter"/>
              <v:path gradientshapeok="t" o:connecttype="rect"/>
            </v:shapetype>
            <v:shape id="Text Box 10" o:spid="_x0000_s1026" type="#_x0000_t202" style="position:absolute;left:0;text-align:left;margin-left:-67.05pt;margin-top:-40.8pt;width:137.75pt;height:15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" filled="f" stroked="f" strokeweight=".5pt">
              <v:textbox>
                <w:txbxContent>
                  <w:p w14:paraId="4728058D" w14:textId="77777777" w:rsidR="00773FF9" w:rsidRDefault="00773FF9" w:rsidP="004F4319">
                    <w:pPr>
                      <w:ind w:left="-28" w:right="1688"/>
                    </w:pPr>
                    <w:r>
                      <w:rPr>
                        <w:noProof/>
                      </w:rPr>
                      <w:drawing>
                        <wp:inline distT="0" distB="0" distL="0" distR="0" wp14:anchorId="2944EED0" wp14:editId="548A6812">
                          <wp:extent cx="1565031" cy="151701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xty_second_cont.jpg"/>
                                  <pic:cNvPicPr/>
                                </pic:nvPicPr>
                                <pic:blipFill rotWithShape="1">
                                  <a:blip r:embed="rId2" cstate="print">
                                    <a:extLst>
                                      <a:ext uri="{28A0092B-C50C-407E-A947-70E740481C1C}">
                                        <a14:useLocalDpi xmlns:a14="http://schemas.microsoft.com/office/drawing/2010/main" val="0"/>
                                      </a:ext>
                                    </a:extLst>
                                  </a:blip>
                                  <a:srcRect l="26757"/>
                                  <a:stretch/>
                                </pic:blipFill>
                                <pic:spPr bwMode="auto">
                                  <a:xfrm flipH="1">
                                    <a:off x="0" y="0"/>
                                    <a:ext cx="1573577" cy="1525299"/>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rStyle w:val="HeaderChar"/>
        <w:color w:val="455560"/>
      </w:rPr>
      <w:tab/>
    </w:r>
    <w:bookmarkStart w:id="21" w:name="Scheme2"/>
    <w:r w:rsidR="00697A08">
      <w:rPr>
        <w:rStyle w:val="HeaderTextGrey"/>
      </w:rPr>
      <w:t>F</w:t>
    </w:r>
    <w:r w:rsidR="00073755">
      <w:rPr>
        <w:rStyle w:val="HeaderTextGrey"/>
      </w:rPr>
      <w:t>alkirk Council</w:t>
    </w:r>
    <w:r w:rsidRPr="004D2949">
      <w:rPr>
        <w:rStyle w:val="HeaderTextGrey"/>
      </w:rPr>
      <w:t xml:space="preserve"> Pension </w:t>
    </w:r>
    <w:r w:rsidR="00C53669">
      <w:rPr>
        <w:rStyle w:val="HeaderTextGrey"/>
      </w:rPr>
      <w:t>Fund</w:t>
    </w:r>
    <w:bookmarkEnd w:id="2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D8F"/>
    <w:multiLevelType w:val="hybridMultilevel"/>
    <w:tmpl w:val="40B85F6A"/>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84F75B8"/>
    <w:multiLevelType w:val="multilevel"/>
    <w:tmpl w:val="2118F4C4"/>
    <w:lvl w:ilvl="0">
      <w:start w:val="1"/>
      <w:numFmt w:val="decimal"/>
      <w:lvlRestart w:val="0"/>
      <w:pStyle w:val="Heading1Num"/>
      <w:isLgl/>
      <w:lvlText w:val="%1"/>
      <w:lvlJc w:val="left"/>
      <w:pPr>
        <w:tabs>
          <w:tab w:val="num" w:pos="567"/>
        </w:tabs>
        <w:ind w:left="567" w:hanging="567"/>
      </w:pPr>
      <w:rPr>
        <w:rFonts w:hint="default"/>
      </w:rPr>
    </w:lvl>
    <w:lvl w:ilvl="1">
      <w:start w:val="1"/>
      <w:numFmt w:val="decimal"/>
      <w:pStyle w:val="Heading2Num"/>
      <w:lvlText w:val="%1.%2"/>
      <w:lvlJc w:val="left"/>
      <w:pPr>
        <w:tabs>
          <w:tab w:val="num" w:pos="709"/>
        </w:tabs>
        <w:ind w:left="709" w:hanging="567"/>
      </w:pPr>
      <w:rPr>
        <w:rFonts w:hint="default"/>
      </w:rPr>
    </w:lvl>
    <w:lvl w:ilvl="2">
      <w:start w:val="1"/>
      <w:numFmt w:val="decimal"/>
      <w:pStyle w:val="Heading3Num"/>
      <w:lvlText w:val="%1.%2.%3"/>
      <w:lvlJc w:val="left"/>
      <w:pPr>
        <w:tabs>
          <w:tab w:val="num" w:pos="709"/>
        </w:tabs>
        <w:ind w:left="709" w:hanging="567"/>
      </w:pPr>
      <w:rPr>
        <w:rFont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Arial" w:hAnsi="Arial"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B415C44"/>
    <w:multiLevelType w:val="hybridMultilevel"/>
    <w:tmpl w:val="CD56D7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C91143"/>
    <w:multiLevelType w:val="multilevel"/>
    <w:tmpl w:val="C7D6DB6A"/>
    <w:lvl w:ilvl="0">
      <w:start w:val="1"/>
      <w:numFmt w:val="decimal"/>
      <w:lvlRestart w:val="0"/>
      <w:pStyle w:val="hNumber1"/>
      <w:isLg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Arial" w:hAnsi="Arial"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E266BE6"/>
    <w:multiLevelType w:val="hybridMultilevel"/>
    <w:tmpl w:val="BA30452A"/>
    <w:lvl w:ilvl="0" w:tplc="EE3C1B28">
      <w:start w:val="1"/>
      <w:numFmt w:val="bullet"/>
      <w:pStyle w:val="hBullet3"/>
      <w:lvlText w:val=""/>
      <w:lvlJc w:val="left"/>
      <w:pPr>
        <w:tabs>
          <w:tab w:val="num" w:pos="567"/>
        </w:tabs>
        <w:ind w:left="567" w:hanging="567"/>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3A78D4"/>
    <w:multiLevelType w:val="multilevel"/>
    <w:tmpl w:val="A642D374"/>
    <w:styleLink w:val="HRNumber"/>
    <w:lvl w:ilvl="0">
      <w:start w:val="1"/>
      <w:numFmt w:val="decimal"/>
      <w:pStyle w:val="NumberHymans"/>
      <w:lvlText w:val="%1"/>
      <w:lvlJc w:val="left"/>
      <w:pPr>
        <w:ind w:left="567" w:hanging="567"/>
      </w:pPr>
      <w:rPr>
        <w:rFonts w:ascii="Arial" w:hAnsi="Arial" w:hint="default"/>
        <w:color w:val="4B4B4B"/>
        <w:sz w:val="20"/>
      </w:rPr>
    </w:lvl>
    <w:lvl w:ilvl="1">
      <w:start w:val="1"/>
      <w:numFmt w:val="decimal"/>
      <w:lvlText w:val="%1.%2"/>
      <w:lvlJc w:val="left"/>
      <w:pPr>
        <w:ind w:left="1134" w:hanging="567"/>
      </w:pPr>
      <w:rPr>
        <w:rFonts w:ascii="Arial" w:hAnsi="Arial" w:hint="default"/>
        <w:color w:val="4B4B4B"/>
        <w:sz w:val="20"/>
      </w:rPr>
    </w:lvl>
    <w:lvl w:ilvl="2">
      <w:start w:val="1"/>
      <w:numFmt w:val="decimal"/>
      <w:lvlText w:val="%1.%2.%3"/>
      <w:lvlJc w:val="left"/>
      <w:pPr>
        <w:ind w:left="1701" w:hanging="567"/>
      </w:pPr>
      <w:rPr>
        <w:rFonts w:ascii="Arial" w:hAnsi="Arial" w:hint="default"/>
        <w:color w:val="4B4B4B"/>
        <w:sz w:val="20"/>
      </w:rPr>
    </w:lvl>
    <w:lvl w:ilvl="3">
      <w:start w:val="1"/>
      <w:numFmt w:val="decimal"/>
      <w:lvlText w:val="%1.%2.%3.%4"/>
      <w:lvlJc w:val="left"/>
      <w:pPr>
        <w:ind w:left="1728" w:hanging="648"/>
      </w:pPr>
      <w:rPr>
        <w:rFonts w:ascii="Arial" w:hAnsi="Arial" w:hint="default"/>
        <w:color w:val="auto"/>
        <w:sz w:val="20"/>
      </w:rPr>
    </w:lvl>
    <w:lvl w:ilvl="4">
      <w:start w:val="1"/>
      <w:numFmt w:val="decimal"/>
      <w:lvlText w:val="%1.%2.%3.%4.%5"/>
      <w:lvlJc w:val="left"/>
      <w:pPr>
        <w:ind w:left="2232" w:hanging="792"/>
      </w:pPr>
      <w:rPr>
        <w:rFonts w:ascii="Arial" w:hAnsi="Arial" w:hint="default"/>
        <w:color w:val="auto"/>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3C00257"/>
    <w:multiLevelType w:val="hybridMultilevel"/>
    <w:tmpl w:val="DDA45D5A"/>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 w15:restartNumberingAfterBreak="0">
    <w:nsid w:val="381F41E6"/>
    <w:multiLevelType w:val="multilevel"/>
    <w:tmpl w:val="5E7631A4"/>
    <w:styleLink w:val="HRBullet"/>
    <w:lvl w:ilvl="0">
      <w:start w:val="1"/>
      <w:numFmt w:val="bullet"/>
      <w:pStyle w:val="BulletHymans"/>
      <w:lvlText w:val=""/>
      <w:lvlJc w:val="left"/>
      <w:pPr>
        <w:ind w:left="567" w:hanging="567"/>
      </w:pPr>
      <w:rPr>
        <w:rFonts w:ascii="Symbol" w:hAnsi="Symbol" w:hint="default"/>
        <w:color w:val="4B4B4B"/>
        <w:sz w:val="20"/>
      </w:rPr>
    </w:lvl>
    <w:lvl w:ilvl="1">
      <w:start w:val="1"/>
      <w:numFmt w:val="none"/>
      <w:lvlText w:val="%2-"/>
      <w:lvlJc w:val="left"/>
      <w:pPr>
        <w:ind w:left="1134" w:hanging="567"/>
      </w:pPr>
      <w:rPr>
        <w:rFonts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8973107"/>
    <w:multiLevelType w:val="hybridMultilevel"/>
    <w:tmpl w:val="3522C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127D83"/>
    <w:multiLevelType w:val="hybridMultilevel"/>
    <w:tmpl w:val="E228D2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B837E0"/>
    <w:multiLevelType w:val="hybridMultilevel"/>
    <w:tmpl w:val="77B4C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463E85"/>
    <w:multiLevelType w:val="hybridMultilevel"/>
    <w:tmpl w:val="752A7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DF1FE1"/>
    <w:multiLevelType w:val="hybridMultilevel"/>
    <w:tmpl w:val="7D06E0E0"/>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3" w15:restartNumberingAfterBreak="0">
    <w:nsid w:val="53B92DC0"/>
    <w:multiLevelType w:val="hybridMultilevel"/>
    <w:tmpl w:val="CF02F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7945A6"/>
    <w:multiLevelType w:val="multilevel"/>
    <w:tmpl w:val="B538BD02"/>
    <w:lvl w:ilvl="0">
      <w:start w:val="1"/>
      <w:numFmt w:val="bullet"/>
      <w:lvlRestart w:val="0"/>
      <w:pStyle w:val="hBullets"/>
      <w:lvlText w:val=""/>
      <w:lvlJc w:val="left"/>
      <w:pPr>
        <w:tabs>
          <w:tab w:val="num" w:pos="567"/>
        </w:tabs>
        <w:ind w:left="567" w:hanging="567"/>
      </w:pPr>
      <w:rPr>
        <w:rFonts w:ascii="Symbol" w:hAnsi="Symbol" w:hint="default"/>
        <w:b w:val="0"/>
        <w:i w:val="0"/>
        <w:color w:val="4B4B4B"/>
        <w:sz w:val="20"/>
        <w:szCs w:val="20"/>
      </w:rPr>
    </w:lvl>
    <w:lvl w:ilvl="1">
      <w:start w:val="1"/>
      <w:numFmt w:val="bullet"/>
      <w:lvlText w:val="-"/>
      <w:lvlJc w:val="left"/>
      <w:pPr>
        <w:tabs>
          <w:tab w:val="num" w:pos="1134"/>
        </w:tabs>
        <w:ind w:left="1134" w:hanging="567"/>
      </w:pPr>
      <w:rPr>
        <w:rFonts w:ascii="Arial" w:hAnsi="Arial" w:hint="default"/>
        <w:b w:val="0"/>
        <w:i w:val="0"/>
        <w:color w:val="4B4B4B"/>
        <w:sz w:val="20"/>
        <w:szCs w:val="20"/>
      </w:rPr>
    </w:lvl>
    <w:lvl w:ilvl="2">
      <w:start w:val="1"/>
      <w:numFmt w:val="bullet"/>
      <w:lvlText w:val=""/>
      <w:lvlJc w:val="left"/>
      <w:pPr>
        <w:tabs>
          <w:tab w:val="num" w:pos="1701"/>
        </w:tabs>
        <w:ind w:left="1701" w:hanging="567"/>
      </w:pPr>
      <w:rPr>
        <w:rFonts w:ascii="Symbol" w:hAnsi="Symbol" w:hint="default"/>
        <w:b w:val="0"/>
        <w:i w:val="0"/>
        <w:color w:val="4B4B4B"/>
        <w:sz w:val="20"/>
        <w:szCs w:val="20"/>
      </w:rPr>
    </w:lvl>
    <w:lvl w:ilvl="3">
      <w:start w:val="1"/>
      <w:numFmt w:val="bullet"/>
      <w:lvlText w:val=""/>
      <w:lvlJc w:val="left"/>
      <w:pPr>
        <w:tabs>
          <w:tab w:val="num" w:pos="2835"/>
        </w:tabs>
        <w:ind w:left="2835" w:hanging="567"/>
      </w:pPr>
      <w:rPr>
        <w:rFonts w:ascii="Symbol" w:hAnsi="Symbol" w:hint="default"/>
        <w:b w:val="0"/>
        <w:i w:val="0"/>
        <w:color w:val="auto"/>
        <w:sz w:val="22"/>
      </w:rPr>
    </w:lvl>
    <w:lvl w:ilvl="4">
      <w:start w:val="1"/>
      <w:numFmt w:val="bullet"/>
      <w:lvlText w:val="·"/>
      <w:lvlJc w:val="left"/>
      <w:pPr>
        <w:tabs>
          <w:tab w:val="num" w:pos="1418"/>
        </w:tabs>
        <w:ind w:left="1418" w:hanging="567"/>
      </w:pPr>
      <w:rPr>
        <w:rFonts w:ascii="Symbol" w:hAnsi="Symbol" w:hint="default"/>
        <w:b w:val="0"/>
        <w:i w:val="0"/>
        <w:color w:val="auto"/>
        <w:sz w:val="22"/>
      </w:rPr>
    </w:lvl>
    <w:lvl w:ilvl="5">
      <w:start w:val="1"/>
      <w:numFmt w:val="bullet"/>
      <w:lvlText w:val="·"/>
      <w:lvlJc w:val="left"/>
      <w:pPr>
        <w:tabs>
          <w:tab w:val="num" w:pos="1985"/>
        </w:tabs>
        <w:ind w:left="1985" w:hanging="567"/>
      </w:pPr>
      <w:rPr>
        <w:rFonts w:ascii="Symbol" w:hAnsi="Symbol" w:hint="default"/>
        <w:b w:val="0"/>
        <w:i w:val="0"/>
        <w:color w:val="auto"/>
        <w:sz w:val="22"/>
      </w:rPr>
    </w:lvl>
    <w:lvl w:ilvl="6">
      <w:start w:val="1"/>
      <w:numFmt w:val="bullet"/>
      <w:lvlRestart w:val="0"/>
      <w:lvlText w:val="·"/>
      <w:lvlJc w:val="left"/>
      <w:pPr>
        <w:tabs>
          <w:tab w:val="num" w:pos="851"/>
        </w:tabs>
        <w:ind w:left="851" w:hanging="851"/>
      </w:pPr>
      <w:rPr>
        <w:rFonts w:ascii="Symbol" w:hAnsi="Symbol" w:hint="default"/>
        <w:b w:val="0"/>
        <w:i w:val="0"/>
        <w:color w:val="auto"/>
        <w:sz w:val="22"/>
      </w:rPr>
    </w:lvl>
    <w:lvl w:ilvl="7">
      <w:start w:val="1"/>
      <w:numFmt w:val="bullet"/>
      <w:lvlRestart w:val="0"/>
      <w:lvlText w:val="·"/>
      <w:lvlJc w:val="left"/>
      <w:pPr>
        <w:tabs>
          <w:tab w:val="num" w:pos="1418"/>
        </w:tabs>
        <w:ind w:left="1418" w:hanging="567"/>
      </w:pPr>
      <w:rPr>
        <w:rFonts w:ascii="Symbol" w:hAnsi="Symbol" w:hint="default"/>
        <w:b w:val="0"/>
        <w:i w:val="0"/>
        <w:color w:val="auto"/>
        <w:sz w:val="22"/>
      </w:rPr>
    </w:lvl>
    <w:lvl w:ilvl="8">
      <w:start w:val="1"/>
      <w:numFmt w:val="bullet"/>
      <w:lvlText w:val="·"/>
      <w:lvlJc w:val="left"/>
      <w:pPr>
        <w:tabs>
          <w:tab w:val="num" w:pos="1985"/>
        </w:tabs>
        <w:ind w:left="1985" w:hanging="567"/>
      </w:pPr>
      <w:rPr>
        <w:rFonts w:ascii="Symbol" w:hAnsi="Symbol" w:hint="default"/>
        <w:b w:val="0"/>
        <w:i w:val="0"/>
        <w:color w:val="auto"/>
        <w:sz w:val="22"/>
      </w:rPr>
    </w:lvl>
  </w:abstractNum>
  <w:abstractNum w:abstractNumId="15" w15:restartNumberingAfterBreak="0">
    <w:nsid w:val="6DB75176"/>
    <w:multiLevelType w:val="hybridMultilevel"/>
    <w:tmpl w:val="E16EC12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700E2211"/>
    <w:multiLevelType w:val="hybridMultilevel"/>
    <w:tmpl w:val="5A747B5E"/>
    <w:lvl w:ilvl="0" w:tplc="37F066BE">
      <w:start w:val="1"/>
      <w:numFmt w:val="decimal"/>
      <w:pStyle w:val="TenderQuestion"/>
      <w:lvlText w:val="Q%1."/>
      <w:lvlJc w:val="left"/>
      <w:pPr>
        <w:ind w:left="720" w:hanging="360"/>
      </w:pPr>
      <w:rPr>
        <w:rFonts w:hint="default"/>
        <w:color w:val="FFFFFF"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7825E7"/>
    <w:multiLevelType w:val="multilevel"/>
    <w:tmpl w:val="567E87DA"/>
    <w:lvl w:ilvl="0">
      <w:start w:val="1"/>
      <w:numFmt w:val="bullet"/>
      <w:pStyle w:val="hBullet1"/>
      <w:lvlText w:val="·"/>
      <w:lvlJc w:val="left"/>
      <w:pPr>
        <w:tabs>
          <w:tab w:val="num" w:pos="851"/>
        </w:tabs>
        <w:ind w:left="851" w:hanging="851"/>
      </w:pPr>
      <w:rPr>
        <w:rFonts w:ascii="Symbol" w:hAnsi="Symbol" w:hint="default"/>
        <w:color w:val="auto"/>
      </w:rPr>
    </w:lvl>
    <w:lvl w:ilvl="1">
      <w:start w:val="1"/>
      <w:numFmt w:val="bullet"/>
      <w:lvlText w:val="·"/>
      <w:lvlJc w:val="left"/>
      <w:pPr>
        <w:tabs>
          <w:tab w:val="num" w:pos="1418"/>
        </w:tabs>
        <w:ind w:left="1418" w:hanging="567"/>
      </w:pPr>
      <w:rPr>
        <w:rFonts w:ascii="Symbol" w:hAnsi="Symbol" w:hint="default"/>
        <w:color w:val="auto"/>
      </w:rPr>
    </w:lvl>
    <w:lvl w:ilvl="2">
      <w:start w:val="1"/>
      <w:numFmt w:val="bullet"/>
      <w:lvlText w:val="·"/>
      <w:lvlJc w:val="left"/>
      <w:pPr>
        <w:tabs>
          <w:tab w:val="num" w:pos="1985"/>
        </w:tabs>
        <w:ind w:left="1985" w:hanging="567"/>
      </w:pPr>
      <w:rPr>
        <w:rFonts w:ascii="Symbol" w:hAnsi="Symbol" w:hint="default"/>
        <w:color w:val="auto"/>
      </w:rPr>
    </w:lvl>
    <w:lvl w:ilvl="3">
      <w:start w:val="1"/>
      <w:numFmt w:val="bullet"/>
      <w:lvlText w:val="·"/>
      <w:lvlJc w:val="left"/>
      <w:pPr>
        <w:tabs>
          <w:tab w:val="num" w:pos="1418"/>
        </w:tabs>
        <w:ind w:left="1418" w:hanging="567"/>
      </w:pPr>
      <w:rPr>
        <w:rFonts w:ascii="Symbol" w:hAnsi="Symbol" w:hint="default"/>
        <w:color w:val="auto"/>
      </w:rPr>
    </w:lvl>
    <w:lvl w:ilvl="4">
      <w:start w:val="1"/>
      <w:numFmt w:val="bullet"/>
      <w:lvlText w:val="·"/>
      <w:lvlJc w:val="left"/>
      <w:pPr>
        <w:tabs>
          <w:tab w:val="num" w:pos="851"/>
        </w:tabs>
        <w:ind w:left="851" w:hanging="851"/>
      </w:pPr>
      <w:rPr>
        <w:rFonts w:ascii="Symbol" w:hAnsi="Symbol" w:hint="default"/>
        <w:color w:val="auto"/>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9E803A7"/>
    <w:multiLevelType w:val="hybridMultilevel"/>
    <w:tmpl w:val="12C68C94"/>
    <w:lvl w:ilvl="0" w:tplc="E424C0AC">
      <w:start w:val="1"/>
      <w:numFmt w:val="bullet"/>
      <w:pStyle w:val="hBullet2"/>
      <w:lvlText w:val=""/>
      <w:lvlJc w:val="left"/>
      <w:pPr>
        <w:tabs>
          <w:tab w:val="num" w:pos="1418"/>
        </w:tabs>
        <w:ind w:left="1418" w:hanging="56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A83815"/>
    <w:multiLevelType w:val="hybridMultilevel"/>
    <w:tmpl w:val="9DAE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0685239">
    <w:abstractNumId w:val="1"/>
  </w:num>
  <w:num w:numId="2" w16cid:durableId="1432892513">
    <w:abstractNumId w:val="5"/>
  </w:num>
  <w:num w:numId="3" w16cid:durableId="861357125">
    <w:abstractNumId w:val="7"/>
  </w:num>
  <w:num w:numId="4" w16cid:durableId="1839609231">
    <w:abstractNumId w:val="17"/>
  </w:num>
  <w:num w:numId="5" w16cid:durableId="401802915">
    <w:abstractNumId w:val="18"/>
  </w:num>
  <w:num w:numId="6" w16cid:durableId="122164460">
    <w:abstractNumId w:val="4"/>
  </w:num>
  <w:num w:numId="7" w16cid:durableId="255750511">
    <w:abstractNumId w:val="14"/>
  </w:num>
  <w:num w:numId="8" w16cid:durableId="20709624">
    <w:abstractNumId w:val="3"/>
  </w:num>
  <w:num w:numId="9" w16cid:durableId="1995647040">
    <w:abstractNumId w:val="16"/>
  </w:num>
  <w:num w:numId="10" w16cid:durableId="1523855951">
    <w:abstractNumId w:val="7"/>
  </w:num>
  <w:num w:numId="11" w16cid:durableId="369577206">
    <w:abstractNumId w:val="5"/>
  </w:num>
  <w:num w:numId="12" w16cid:durableId="1302927194">
    <w:abstractNumId w:val="9"/>
  </w:num>
  <w:num w:numId="13" w16cid:durableId="1351687793">
    <w:abstractNumId w:val="10"/>
  </w:num>
  <w:num w:numId="14" w16cid:durableId="577594571">
    <w:abstractNumId w:val="11"/>
  </w:num>
  <w:num w:numId="15" w16cid:durableId="1808234775">
    <w:abstractNumId w:val="8"/>
  </w:num>
  <w:num w:numId="16" w16cid:durableId="1361711564">
    <w:abstractNumId w:val="13"/>
  </w:num>
  <w:num w:numId="17" w16cid:durableId="188491066">
    <w:abstractNumId w:val="0"/>
  </w:num>
  <w:num w:numId="18" w16cid:durableId="337730158">
    <w:abstractNumId w:val="12"/>
  </w:num>
  <w:num w:numId="19" w16cid:durableId="15389289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9561851">
    <w:abstractNumId w:val="2"/>
  </w:num>
  <w:num w:numId="21" w16cid:durableId="1138307097">
    <w:abstractNumId w:val="15"/>
  </w:num>
  <w:num w:numId="22" w16cid:durableId="341709747">
    <w:abstractNumId w:val="6"/>
  </w:num>
  <w:num w:numId="23" w16cid:durableId="828638798">
    <w:abstractNumId w:val="1"/>
  </w:num>
  <w:num w:numId="24" w16cid:durableId="1255211515">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lickAndTypeStyle w:val="BodyText"/>
  <w:drawingGridHorizontalSpacing w:val="100"/>
  <w:displayHorizontalDrawingGridEvery w:val="2"/>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8F"/>
    <w:rsid w:val="00000F34"/>
    <w:rsid w:val="00001111"/>
    <w:rsid w:val="0000321E"/>
    <w:rsid w:val="000049CB"/>
    <w:rsid w:val="00004D7A"/>
    <w:rsid w:val="0000606C"/>
    <w:rsid w:val="0001166D"/>
    <w:rsid w:val="00011AED"/>
    <w:rsid w:val="00014641"/>
    <w:rsid w:val="000164F3"/>
    <w:rsid w:val="00021F07"/>
    <w:rsid w:val="000225E4"/>
    <w:rsid w:val="00022F9C"/>
    <w:rsid w:val="00023A08"/>
    <w:rsid w:val="0002686B"/>
    <w:rsid w:val="00032282"/>
    <w:rsid w:val="0003301A"/>
    <w:rsid w:val="0003306F"/>
    <w:rsid w:val="0003314B"/>
    <w:rsid w:val="00037BAE"/>
    <w:rsid w:val="00040FB9"/>
    <w:rsid w:val="0004113A"/>
    <w:rsid w:val="00041484"/>
    <w:rsid w:val="00041A37"/>
    <w:rsid w:val="000426A7"/>
    <w:rsid w:val="0005092B"/>
    <w:rsid w:val="00053839"/>
    <w:rsid w:val="00053A79"/>
    <w:rsid w:val="0005527F"/>
    <w:rsid w:val="00056118"/>
    <w:rsid w:val="000634CD"/>
    <w:rsid w:val="000648B6"/>
    <w:rsid w:val="00073204"/>
    <w:rsid w:val="00073755"/>
    <w:rsid w:val="00075351"/>
    <w:rsid w:val="000812F1"/>
    <w:rsid w:val="00083EB5"/>
    <w:rsid w:val="00094339"/>
    <w:rsid w:val="000A02A8"/>
    <w:rsid w:val="000A0510"/>
    <w:rsid w:val="000A19B9"/>
    <w:rsid w:val="000A4E50"/>
    <w:rsid w:val="000B2300"/>
    <w:rsid w:val="000B4361"/>
    <w:rsid w:val="000B61CC"/>
    <w:rsid w:val="000C1401"/>
    <w:rsid w:val="000C5910"/>
    <w:rsid w:val="000C7294"/>
    <w:rsid w:val="000D200B"/>
    <w:rsid w:val="000D3329"/>
    <w:rsid w:val="000D5C68"/>
    <w:rsid w:val="000D6036"/>
    <w:rsid w:val="000E07BC"/>
    <w:rsid w:val="000E21D1"/>
    <w:rsid w:val="000E233F"/>
    <w:rsid w:val="000E2DC3"/>
    <w:rsid w:val="000E5361"/>
    <w:rsid w:val="000E5561"/>
    <w:rsid w:val="000E7BBB"/>
    <w:rsid w:val="000F08AE"/>
    <w:rsid w:val="000F1F3D"/>
    <w:rsid w:val="000F2D85"/>
    <w:rsid w:val="000F31CE"/>
    <w:rsid w:val="000F33CB"/>
    <w:rsid w:val="000F4CB9"/>
    <w:rsid w:val="0010038F"/>
    <w:rsid w:val="00105E2A"/>
    <w:rsid w:val="0011032C"/>
    <w:rsid w:val="00110DF2"/>
    <w:rsid w:val="0011286F"/>
    <w:rsid w:val="00113A50"/>
    <w:rsid w:val="00114C8D"/>
    <w:rsid w:val="00116248"/>
    <w:rsid w:val="001170B9"/>
    <w:rsid w:val="001203D8"/>
    <w:rsid w:val="00120F07"/>
    <w:rsid w:val="001218C0"/>
    <w:rsid w:val="00123151"/>
    <w:rsid w:val="001242A1"/>
    <w:rsid w:val="00126FE1"/>
    <w:rsid w:val="00127D2E"/>
    <w:rsid w:val="001307E4"/>
    <w:rsid w:val="00133D70"/>
    <w:rsid w:val="001346EF"/>
    <w:rsid w:val="00137B44"/>
    <w:rsid w:val="00137BB9"/>
    <w:rsid w:val="001405A0"/>
    <w:rsid w:val="00140722"/>
    <w:rsid w:val="00140798"/>
    <w:rsid w:val="0014257D"/>
    <w:rsid w:val="001437AD"/>
    <w:rsid w:val="00143CF9"/>
    <w:rsid w:val="00144921"/>
    <w:rsid w:val="001459F9"/>
    <w:rsid w:val="0015034C"/>
    <w:rsid w:val="00151C95"/>
    <w:rsid w:val="00153B04"/>
    <w:rsid w:val="00155A0C"/>
    <w:rsid w:val="00155D59"/>
    <w:rsid w:val="00156F81"/>
    <w:rsid w:val="001603D8"/>
    <w:rsid w:val="00161697"/>
    <w:rsid w:val="001674A5"/>
    <w:rsid w:val="00171A87"/>
    <w:rsid w:val="00171DE5"/>
    <w:rsid w:val="00172A40"/>
    <w:rsid w:val="0017360E"/>
    <w:rsid w:val="0017397C"/>
    <w:rsid w:val="00173A57"/>
    <w:rsid w:val="00173C94"/>
    <w:rsid w:val="001769F1"/>
    <w:rsid w:val="00176CAC"/>
    <w:rsid w:val="00176EB0"/>
    <w:rsid w:val="0018264C"/>
    <w:rsid w:val="00183D75"/>
    <w:rsid w:val="0018465C"/>
    <w:rsid w:val="0018595A"/>
    <w:rsid w:val="001865C2"/>
    <w:rsid w:val="001908A7"/>
    <w:rsid w:val="00191560"/>
    <w:rsid w:val="0019331F"/>
    <w:rsid w:val="00193782"/>
    <w:rsid w:val="00196D79"/>
    <w:rsid w:val="001A155C"/>
    <w:rsid w:val="001A75F7"/>
    <w:rsid w:val="001B1BCF"/>
    <w:rsid w:val="001B1D72"/>
    <w:rsid w:val="001B27C7"/>
    <w:rsid w:val="001B4204"/>
    <w:rsid w:val="001B71D1"/>
    <w:rsid w:val="001B7F37"/>
    <w:rsid w:val="001C25D0"/>
    <w:rsid w:val="001C4023"/>
    <w:rsid w:val="001C583F"/>
    <w:rsid w:val="001D20D3"/>
    <w:rsid w:val="001D2D31"/>
    <w:rsid w:val="001E4BE6"/>
    <w:rsid w:val="001E5467"/>
    <w:rsid w:val="001F0925"/>
    <w:rsid w:val="001F09A9"/>
    <w:rsid w:val="001F0DB7"/>
    <w:rsid w:val="001F3D06"/>
    <w:rsid w:val="001F3F0A"/>
    <w:rsid w:val="001F4446"/>
    <w:rsid w:val="001F5FDD"/>
    <w:rsid w:val="001F6C95"/>
    <w:rsid w:val="00202117"/>
    <w:rsid w:val="0020292C"/>
    <w:rsid w:val="0020781F"/>
    <w:rsid w:val="002155B5"/>
    <w:rsid w:val="0021630E"/>
    <w:rsid w:val="00216856"/>
    <w:rsid w:val="002214B8"/>
    <w:rsid w:val="00221FE9"/>
    <w:rsid w:val="002231A3"/>
    <w:rsid w:val="00236298"/>
    <w:rsid w:val="002365DA"/>
    <w:rsid w:val="00236B70"/>
    <w:rsid w:val="002423A7"/>
    <w:rsid w:val="00262AB6"/>
    <w:rsid w:val="002660BE"/>
    <w:rsid w:val="00272343"/>
    <w:rsid w:val="002733C6"/>
    <w:rsid w:val="00277676"/>
    <w:rsid w:val="00277E89"/>
    <w:rsid w:val="002840B5"/>
    <w:rsid w:val="00286C95"/>
    <w:rsid w:val="002874AA"/>
    <w:rsid w:val="00292C65"/>
    <w:rsid w:val="00293639"/>
    <w:rsid w:val="002943D3"/>
    <w:rsid w:val="00294C62"/>
    <w:rsid w:val="0029792E"/>
    <w:rsid w:val="00297CA1"/>
    <w:rsid w:val="002A0FBA"/>
    <w:rsid w:val="002A39FB"/>
    <w:rsid w:val="002A47EF"/>
    <w:rsid w:val="002A5B4C"/>
    <w:rsid w:val="002B0C53"/>
    <w:rsid w:val="002B1303"/>
    <w:rsid w:val="002B660A"/>
    <w:rsid w:val="002B68EE"/>
    <w:rsid w:val="002B6B63"/>
    <w:rsid w:val="002B6B69"/>
    <w:rsid w:val="002B7E52"/>
    <w:rsid w:val="002C04CF"/>
    <w:rsid w:val="002C206C"/>
    <w:rsid w:val="002C24EF"/>
    <w:rsid w:val="002C346B"/>
    <w:rsid w:val="002C3C7A"/>
    <w:rsid w:val="002C6B8C"/>
    <w:rsid w:val="002C72A3"/>
    <w:rsid w:val="002C78B9"/>
    <w:rsid w:val="002D0591"/>
    <w:rsid w:val="002D12B6"/>
    <w:rsid w:val="002D14A3"/>
    <w:rsid w:val="002D1AD2"/>
    <w:rsid w:val="002D2CF0"/>
    <w:rsid w:val="002D67C3"/>
    <w:rsid w:val="002D7FAF"/>
    <w:rsid w:val="002E1AD7"/>
    <w:rsid w:val="002E4964"/>
    <w:rsid w:val="002E6E04"/>
    <w:rsid w:val="002E6EE2"/>
    <w:rsid w:val="002F2AAA"/>
    <w:rsid w:val="002F3A29"/>
    <w:rsid w:val="002F4313"/>
    <w:rsid w:val="002F5379"/>
    <w:rsid w:val="002F5DF1"/>
    <w:rsid w:val="002F7AA5"/>
    <w:rsid w:val="00302D29"/>
    <w:rsid w:val="003036D4"/>
    <w:rsid w:val="00303D24"/>
    <w:rsid w:val="00305FA1"/>
    <w:rsid w:val="00307D84"/>
    <w:rsid w:val="00312518"/>
    <w:rsid w:val="003127D3"/>
    <w:rsid w:val="003134DE"/>
    <w:rsid w:val="003138A8"/>
    <w:rsid w:val="00317040"/>
    <w:rsid w:val="0031795F"/>
    <w:rsid w:val="00320173"/>
    <w:rsid w:val="00327143"/>
    <w:rsid w:val="003277B2"/>
    <w:rsid w:val="00335743"/>
    <w:rsid w:val="00336CCD"/>
    <w:rsid w:val="00341935"/>
    <w:rsid w:val="00341BB2"/>
    <w:rsid w:val="00341E11"/>
    <w:rsid w:val="00344F62"/>
    <w:rsid w:val="0034539B"/>
    <w:rsid w:val="00347C12"/>
    <w:rsid w:val="003502FA"/>
    <w:rsid w:val="003509E7"/>
    <w:rsid w:val="0035108E"/>
    <w:rsid w:val="003510D4"/>
    <w:rsid w:val="003531FB"/>
    <w:rsid w:val="00361523"/>
    <w:rsid w:val="003631DD"/>
    <w:rsid w:val="00372359"/>
    <w:rsid w:val="00375E11"/>
    <w:rsid w:val="003818CA"/>
    <w:rsid w:val="00381B9A"/>
    <w:rsid w:val="00384A77"/>
    <w:rsid w:val="00384FCA"/>
    <w:rsid w:val="00387453"/>
    <w:rsid w:val="00390800"/>
    <w:rsid w:val="00393BA1"/>
    <w:rsid w:val="00394A11"/>
    <w:rsid w:val="003A26BA"/>
    <w:rsid w:val="003A26C3"/>
    <w:rsid w:val="003A4DFA"/>
    <w:rsid w:val="003A5017"/>
    <w:rsid w:val="003A7A6D"/>
    <w:rsid w:val="003B05B8"/>
    <w:rsid w:val="003B09EF"/>
    <w:rsid w:val="003B4D32"/>
    <w:rsid w:val="003B6E88"/>
    <w:rsid w:val="003D08BD"/>
    <w:rsid w:val="003D152C"/>
    <w:rsid w:val="003D1A2F"/>
    <w:rsid w:val="003D1C42"/>
    <w:rsid w:val="003D28AC"/>
    <w:rsid w:val="003D5283"/>
    <w:rsid w:val="003D6575"/>
    <w:rsid w:val="003D6964"/>
    <w:rsid w:val="003D71A5"/>
    <w:rsid w:val="003E4E23"/>
    <w:rsid w:val="003E5746"/>
    <w:rsid w:val="003E7424"/>
    <w:rsid w:val="003F0B83"/>
    <w:rsid w:val="003F222C"/>
    <w:rsid w:val="003F2370"/>
    <w:rsid w:val="003F6102"/>
    <w:rsid w:val="00402FDA"/>
    <w:rsid w:val="0040717E"/>
    <w:rsid w:val="004109D2"/>
    <w:rsid w:val="00416730"/>
    <w:rsid w:val="00420B6E"/>
    <w:rsid w:val="00424C77"/>
    <w:rsid w:val="00425A3F"/>
    <w:rsid w:val="00425E54"/>
    <w:rsid w:val="00426A02"/>
    <w:rsid w:val="00431115"/>
    <w:rsid w:val="00431BB6"/>
    <w:rsid w:val="00434FC4"/>
    <w:rsid w:val="0043584A"/>
    <w:rsid w:val="00436DD5"/>
    <w:rsid w:val="0044073A"/>
    <w:rsid w:val="00440EA8"/>
    <w:rsid w:val="00441833"/>
    <w:rsid w:val="00442FDB"/>
    <w:rsid w:val="00443599"/>
    <w:rsid w:val="00445823"/>
    <w:rsid w:val="00446199"/>
    <w:rsid w:val="0044760D"/>
    <w:rsid w:val="00447687"/>
    <w:rsid w:val="00447771"/>
    <w:rsid w:val="004506B6"/>
    <w:rsid w:val="0045329B"/>
    <w:rsid w:val="004535FC"/>
    <w:rsid w:val="00460E22"/>
    <w:rsid w:val="00463A2B"/>
    <w:rsid w:val="0047335A"/>
    <w:rsid w:val="00474B55"/>
    <w:rsid w:val="004765CC"/>
    <w:rsid w:val="0048263A"/>
    <w:rsid w:val="00485A62"/>
    <w:rsid w:val="00486050"/>
    <w:rsid w:val="00492D1D"/>
    <w:rsid w:val="00496B48"/>
    <w:rsid w:val="004A12F7"/>
    <w:rsid w:val="004A3E8A"/>
    <w:rsid w:val="004A592B"/>
    <w:rsid w:val="004A6F56"/>
    <w:rsid w:val="004A7772"/>
    <w:rsid w:val="004A7AFA"/>
    <w:rsid w:val="004B0006"/>
    <w:rsid w:val="004B2CBE"/>
    <w:rsid w:val="004B31D2"/>
    <w:rsid w:val="004B5310"/>
    <w:rsid w:val="004B78FB"/>
    <w:rsid w:val="004B7C6A"/>
    <w:rsid w:val="004C14AE"/>
    <w:rsid w:val="004C1B9D"/>
    <w:rsid w:val="004C1F16"/>
    <w:rsid w:val="004C2543"/>
    <w:rsid w:val="004C2B57"/>
    <w:rsid w:val="004C3033"/>
    <w:rsid w:val="004C34A3"/>
    <w:rsid w:val="004C57C9"/>
    <w:rsid w:val="004C7920"/>
    <w:rsid w:val="004D0EBC"/>
    <w:rsid w:val="004D1CA9"/>
    <w:rsid w:val="004D2423"/>
    <w:rsid w:val="004D2949"/>
    <w:rsid w:val="004D414C"/>
    <w:rsid w:val="004D4552"/>
    <w:rsid w:val="004D47F3"/>
    <w:rsid w:val="004D5C31"/>
    <w:rsid w:val="004D78FE"/>
    <w:rsid w:val="004E0DFD"/>
    <w:rsid w:val="004E177A"/>
    <w:rsid w:val="004E384E"/>
    <w:rsid w:val="004E4BCA"/>
    <w:rsid w:val="004F1CAF"/>
    <w:rsid w:val="004F4319"/>
    <w:rsid w:val="004F6EDD"/>
    <w:rsid w:val="004F705D"/>
    <w:rsid w:val="00500702"/>
    <w:rsid w:val="0050189F"/>
    <w:rsid w:val="00501A60"/>
    <w:rsid w:val="00502A10"/>
    <w:rsid w:val="00511F30"/>
    <w:rsid w:val="005131BF"/>
    <w:rsid w:val="00513A94"/>
    <w:rsid w:val="00517C92"/>
    <w:rsid w:val="00517D88"/>
    <w:rsid w:val="00517F6F"/>
    <w:rsid w:val="0052211A"/>
    <w:rsid w:val="00523579"/>
    <w:rsid w:val="00523F4A"/>
    <w:rsid w:val="00524177"/>
    <w:rsid w:val="0052592C"/>
    <w:rsid w:val="00527009"/>
    <w:rsid w:val="00530D6D"/>
    <w:rsid w:val="0053275F"/>
    <w:rsid w:val="00532C95"/>
    <w:rsid w:val="00532DE5"/>
    <w:rsid w:val="00533ECF"/>
    <w:rsid w:val="00536C95"/>
    <w:rsid w:val="005405CC"/>
    <w:rsid w:val="00541123"/>
    <w:rsid w:val="00541602"/>
    <w:rsid w:val="00543447"/>
    <w:rsid w:val="0054479C"/>
    <w:rsid w:val="00550F6A"/>
    <w:rsid w:val="0055182A"/>
    <w:rsid w:val="00552FF1"/>
    <w:rsid w:val="00557D0A"/>
    <w:rsid w:val="00560CD7"/>
    <w:rsid w:val="0056170F"/>
    <w:rsid w:val="00562AE7"/>
    <w:rsid w:val="00564BCF"/>
    <w:rsid w:val="0056536B"/>
    <w:rsid w:val="005658F7"/>
    <w:rsid w:val="00565973"/>
    <w:rsid w:val="00566863"/>
    <w:rsid w:val="005669BD"/>
    <w:rsid w:val="00567AAC"/>
    <w:rsid w:val="00571309"/>
    <w:rsid w:val="00575BDD"/>
    <w:rsid w:val="005763C8"/>
    <w:rsid w:val="0057671F"/>
    <w:rsid w:val="00576B9E"/>
    <w:rsid w:val="0057761B"/>
    <w:rsid w:val="00577C5C"/>
    <w:rsid w:val="00577D68"/>
    <w:rsid w:val="005815E5"/>
    <w:rsid w:val="00582020"/>
    <w:rsid w:val="00582B64"/>
    <w:rsid w:val="00584CB3"/>
    <w:rsid w:val="00586D58"/>
    <w:rsid w:val="0059301F"/>
    <w:rsid w:val="00595E46"/>
    <w:rsid w:val="005969E5"/>
    <w:rsid w:val="005A0DF7"/>
    <w:rsid w:val="005A2C7B"/>
    <w:rsid w:val="005B200F"/>
    <w:rsid w:val="005B6A4F"/>
    <w:rsid w:val="005C2A6A"/>
    <w:rsid w:val="005C2FF5"/>
    <w:rsid w:val="005C4414"/>
    <w:rsid w:val="005C4A61"/>
    <w:rsid w:val="005D1020"/>
    <w:rsid w:val="005D2CB5"/>
    <w:rsid w:val="005D379F"/>
    <w:rsid w:val="005D4E27"/>
    <w:rsid w:val="005D56EB"/>
    <w:rsid w:val="005D7C1E"/>
    <w:rsid w:val="005E21B2"/>
    <w:rsid w:val="005E3524"/>
    <w:rsid w:val="005E3C2F"/>
    <w:rsid w:val="005E4BE7"/>
    <w:rsid w:val="005E5DFB"/>
    <w:rsid w:val="005E719B"/>
    <w:rsid w:val="005F09EA"/>
    <w:rsid w:val="005F1CF3"/>
    <w:rsid w:val="005F2E25"/>
    <w:rsid w:val="005F3F44"/>
    <w:rsid w:val="005F61F7"/>
    <w:rsid w:val="005F77DA"/>
    <w:rsid w:val="006059E4"/>
    <w:rsid w:val="0061075C"/>
    <w:rsid w:val="00612264"/>
    <w:rsid w:val="00613FBF"/>
    <w:rsid w:val="006150CA"/>
    <w:rsid w:val="00620FC9"/>
    <w:rsid w:val="0062240E"/>
    <w:rsid w:val="00624F7E"/>
    <w:rsid w:val="00625FED"/>
    <w:rsid w:val="006265F2"/>
    <w:rsid w:val="0063416B"/>
    <w:rsid w:val="00634F61"/>
    <w:rsid w:val="006356A0"/>
    <w:rsid w:val="00641AAF"/>
    <w:rsid w:val="00641E34"/>
    <w:rsid w:val="0064257A"/>
    <w:rsid w:val="00642BAB"/>
    <w:rsid w:val="00642DD9"/>
    <w:rsid w:val="00643287"/>
    <w:rsid w:val="0064517A"/>
    <w:rsid w:val="00647E41"/>
    <w:rsid w:val="00650BE2"/>
    <w:rsid w:val="00650C4C"/>
    <w:rsid w:val="00654098"/>
    <w:rsid w:val="00654F95"/>
    <w:rsid w:val="00655E61"/>
    <w:rsid w:val="00656968"/>
    <w:rsid w:val="00661C5E"/>
    <w:rsid w:val="0066469C"/>
    <w:rsid w:val="00664905"/>
    <w:rsid w:val="006714D0"/>
    <w:rsid w:val="00674D15"/>
    <w:rsid w:val="00676811"/>
    <w:rsid w:val="00677E6D"/>
    <w:rsid w:val="00677EC6"/>
    <w:rsid w:val="00685473"/>
    <w:rsid w:val="00690BEA"/>
    <w:rsid w:val="0069498F"/>
    <w:rsid w:val="006950A1"/>
    <w:rsid w:val="006959D0"/>
    <w:rsid w:val="00697A08"/>
    <w:rsid w:val="006A2624"/>
    <w:rsid w:val="006A3BCD"/>
    <w:rsid w:val="006B16B8"/>
    <w:rsid w:val="006C2E18"/>
    <w:rsid w:val="006C34B5"/>
    <w:rsid w:val="006C38F0"/>
    <w:rsid w:val="006C5D87"/>
    <w:rsid w:val="006C79B6"/>
    <w:rsid w:val="006D1568"/>
    <w:rsid w:val="006D74B9"/>
    <w:rsid w:val="006E01CF"/>
    <w:rsid w:val="006E345B"/>
    <w:rsid w:val="006F1BF4"/>
    <w:rsid w:val="006F212A"/>
    <w:rsid w:val="006F2403"/>
    <w:rsid w:val="006F5C75"/>
    <w:rsid w:val="0070241B"/>
    <w:rsid w:val="00702464"/>
    <w:rsid w:val="007044E7"/>
    <w:rsid w:val="007059DA"/>
    <w:rsid w:val="00710355"/>
    <w:rsid w:val="00710AA7"/>
    <w:rsid w:val="0071488D"/>
    <w:rsid w:val="007157E1"/>
    <w:rsid w:val="00716999"/>
    <w:rsid w:val="00720E34"/>
    <w:rsid w:val="0072638F"/>
    <w:rsid w:val="007306C4"/>
    <w:rsid w:val="007336DE"/>
    <w:rsid w:val="00734067"/>
    <w:rsid w:val="00734D49"/>
    <w:rsid w:val="007366D9"/>
    <w:rsid w:val="00737DCA"/>
    <w:rsid w:val="00740F51"/>
    <w:rsid w:val="007417E0"/>
    <w:rsid w:val="00743B6D"/>
    <w:rsid w:val="007452A7"/>
    <w:rsid w:val="00745444"/>
    <w:rsid w:val="00745C95"/>
    <w:rsid w:val="00746529"/>
    <w:rsid w:val="007508DE"/>
    <w:rsid w:val="0075364D"/>
    <w:rsid w:val="00763215"/>
    <w:rsid w:val="0076423B"/>
    <w:rsid w:val="007715BA"/>
    <w:rsid w:val="00771BF9"/>
    <w:rsid w:val="00773464"/>
    <w:rsid w:val="00773921"/>
    <w:rsid w:val="00773FF9"/>
    <w:rsid w:val="0077413B"/>
    <w:rsid w:val="00774B76"/>
    <w:rsid w:val="00774BAF"/>
    <w:rsid w:val="007768C7"/>
    <w:rsid w:val="007814A3"/>
    <w:rsid w:val="00783238"/>
    <w:rsid w:val="007849F9"/>
    <w:rsid w:val="00786AE2"/>
    <w:rsid w:val="00787CAE"/>
    <w:rsid w:val="00791AEA"/>
    <w:rsid w:val="00793E25"/>
    <w:rsid w:val="007A3747"/>
    <w:rsid w:val="007A4AB5"/>
    <w:rsid w:val="007A7E36"/>
    <w:rsid w:val="007B654E"/>
    <w:rsid w:val="007B749D"/>
    <w:rsid w:val="007C2164"/>
    <w:rsid w:val="007C308A"/>
    <w:rsid w:val="007C38B2"/>
    <w:rsid w:val="007C3E9E"/>
    <w:rsid w:val="007D35AA"/>
    <w:rsid w:val="007D4D53"/>
    <w:rsid w:val="007D5A6A"/>
    <w:rsid w:val="007E3A7D"/>
    <w:rsid w:val="007E4973"/>
    <w:rsid w:val="007F0E65"/>
    <w:rsid w:val="007F397F"/>
    <w:rsid w:val="00800676"/>
    <w:rsid w:val="00802ADD"/>
    <w:rsid w:val="00803A64"/>
    <w:rsid w:val="00806B56"/>
    <w:rsid w:val="00806B6C"/>
    <w:rsid w:val="0080794F"/>
    <w:rsid w:val="00807A5E"/>
    <w:rsid w:val="008103AB"/>
    <w:rsid w:val="00810443"/>
    <w:rsid w:val="008118F3"/>
    <w:rsid w:val="008152E8"/>
    <w:rsid w:val="0081746C"/>
    <w:rsid w:val="0082259A"/>
    <w:rsid w:val="00823E13"/>
    <w:rsid w:val="008241FC"/>
    <w:rsid w:val="00830BDA"/>
    <w:rsid w:val="0083773B"/>
    <w:rsid w:val="008423BB"/>
    <w:rsid w:val="0084345E"/>
    <w:rsid w:val="0084354D"/>
    <w:rsid w:val="008456B0"/>
    <w:rsid w:val="00845BBE"/>
    <w:rsid w:val="008464CF"/>
    <w:rsid w:val="00846A0C"/>
    <w:rsid w:val="00852BEC"/>
    <w:rsid w:val="00852C18"/>
    <w:rsid w:val="00852E8A"/>
    <w:rsid w:val="0085396D"/>
    <w:rsid w:val="00862D8F"/>
    <w:rsid w:val="008642D4"/>
    <w:rsid w:val="00864BE1"/>
    <w:rsid w:val="008651A4"/>
    <w:rsid w:val="00866D27"/>
    <w:rsid w:val="00872BE4"/>
    <w:rsid w:val="008736BB"/>
    <w:rsid w:val="0087526E"/>
    <w:rsid w:val="00875300"/>
    <w:rsid w:val="00876996"/>
    <w:rsid w:val="00876F61"/>
    <w:rsid w:val="0087746B"/>
    <w:rsid w:val="00880230"/>
    <w:rsid w:val="008806BD"/>
    <w:rsid w:val="0088537F"/>
    <w:rsid w:val="0088600A"/>
    <w:rsid w:val="008959C4"/>
    <w:rsid w:val="00896593"/>
    <w:rsid w:val="0089780B"/>
    <w:rsid w:val="008A1A3F"/>
    <w:rsid w:val="008A2727"/>
    <w:rsid w:val="008A2E09"/>
    <w:rsid w:val="008A420D"/>
    <w:rsid w:val="008A5564"/>
    <w:rsid w:val="008A7B40"/>
    <w:rsid w:val="008B3CFF"/>
    <w:rsid w:val="008B415C"/>
    <w:rsid w:val="008B4AA8"/>
    <w:rsid w:val="008B55B6"/>
    <w:rsid w:val="008B5BB6"/>
    <w:rsid w:val="008B66F0"/>
    <w:rsid w:val="008B7481"/>
    <w:rsid w:val="008C08A3"/>
    <w:rsid w:val="008C49B4"/>
    <w:rsid w:val="008C5A12"/>
    <w:rsid w:val="008C5A25"/>
    <w:rsid w:val="008C7BA1"/>
    <w:rsid w:val="008C7FBD"/>
    <w:rsid w:val="008D2798"/>
    <w:rsid w:val="008D4B79"/>
    <w:rsid w:val="008D6566"/>
    <w:rsid w:val="008D7EA6"/>
    <w:rsid w:val="008E5195"/>
    <w:rsid w:val="008E5368"/>
    <w:rsid w:val="008E5D05"/>
    <w:rsid w:val="008E5F83"/>
    <w:rsid w:val="008E6618"/>
    <w:rsid w:val="008E6E00"/>
    <w:rsid w:val="008F0C55"/>
    <w:rsid w:val="008F2A83"/>
    <w:rsid w:val="008F35EE"/>
    <w:rsid w:val="00902329"/>
    <w:rsid w:val="00902582"/>
    <w:rsid w:val="00910D52"/>
    <w:rsid w:val="009125DD"/>
    <w:rsid w:val="009150FF"/>
    <w:rsid w:val="00915457"/>
    <w:rsid w:val="009238D1"/>
    <w:rsid w:val="0092629D"/>
    <w:rsid w:val="0093006E"/>
    <w:rsid w:val="009306E5"/>
    <w:rsid w:val="00933B46"/>
    <w:rsid w:val="009358DF"/>
    <w:rsid w:val="00935E3F"/>
    <w:rsid w:val="0094196F"/>
    <w:rsid w:val="00942710"/>
    <w:rsid w:val="00944E44"/>
    <w:rsid w:val="00945623"/>
    <w:rsid w:val="00945B8F"/>
    <w:rsid w:val="00947AEA"/>
    <w:rsid w:val="009506FB"/>
    <w:rsid w:val="009508FE"/>
    <w:rsid w:val="0095122F"/>
    <w:rsid w:val="00951C36"/>
    <w:rsid w:val="00951E8F"/>
    <w:rsid w:val="00952C70"/>
    <w:rsid w:val="009604F1"/>
    <w:rsid w:val="00960D0E"/>
    <w:rsid w:val="00961C40"/>
    <w:rsid w:val="00964D17"/>
    <w:rsid w:val="00965C53"/>
    <w:rsid w:val="0097501A"/>
    <w:rsid w:val="00976403"/>
    <w:rsid w:val="009769DD"/>
    <w:rsid w:val="00981A56"/>
    <w:rsid w:val="00981D5A"/>
    <w:rsid w:val="0098213E"/>
    <w:rsid w:val="0098228F"/>
    <w:rsid w:val="009836CD"/>
    <w:rsid w:val="00995A13"/>
    <w:rsid w:val="00995F7A"/>
    <w:rsid w:val="0099735C"/>
    <w:rsid w:val="009A0B65"/>
    <w:rsid w:val="009A2C42"/>
    <w:rsid w:val="009A2C63"/>
    <w:rsid w:val="009A37E1"/>
    <w:rsid w:val="009A4943"/>
    <w:rsid w:val="009A5C41"/>
    <w:rsid w:val="009A6512"/>
    <w:rsid w:val="009B1C12"/>
    <w:rsid w:val="009B3060"/>
    <w:rsid w:val="009B4F09"/>
    <w:rsid w:val="009B625A"/>
    <w:rsid w:val="009B65D7"/>
    <w:rsid w:val="009B6778"/>
    <w:rsid w:val="009C3B44"/>
    <w:rsid w:val="009D1968"/>
    <w:rsid w:val="009D4374"/>
    <w:rsid w:val="009D55BD"/>
    <w:rsid w:val="009E0342"/>
    <w:rsid w:val="009E1DDA"/>
    <w:rsid w:val="009E3F32"/>
    <w:rsid w:val="009E4A70"/>
    <w:rsid w:val="009E5DBD"/>
    <w:rsid w:val="009E6647"/>
    <w:rsid w:val="009E79EB"/>
    <w:rsid w:val="009E7A9D"/>
    <w:rsid w:val="009F0D08"/>
    <w:rsid w:val="009F2FAC"/>
    <w:rsid w:val="009F2FDD"/>
    <w:rsid w:val="009F43C7"/>
    <w:rsid w:val="009F4F04"/>
    <w:rsid w:val="009F6251"/>
    <w:rsid w:val="009F6ED5"/>
    <w:rsid w:val="009F79ED"/>
    <w:rsid w:val="00A003D4"/>
    <w:rsid w:val="00A00522"/>
    <w:rsid w:val="00A00DE3"/>
    <w:rsid w:val="00A104C3"/>
    <w:rsid w:val="00A12FF3"/>
    <w:rsid w:val="00A13261"/>
    <w:rsid w:val="00A134C9"/>
    <w:rsid w:val="00A140EF"/>
    <w:rsid w:val="00A147A8"/>
    <w:rsid w:val="00A1648E"/>
    <w:rsid w:val="00A22946"/>
    <w:rsid w:val="00A22D8D"/>
    <w:rsid w:val="00A2317B"/>
    <w:rsid w:val="00A232FA"/>
    <w:rsid w:val="00A25871"/>
    <w:rsid w:val="00A31D50"/>
    <w:rsid w:val="00A33DB3"/>
    <w:rsid w:val="00A35DFC"/>
    <w:rsid w:val="00A37FE6"/>
    <w:rsid w:val="00A410B1"/>
    <w:rsid w:val="00A46E42"/>
    <w:rsid w:val="00A530D2"/>
    <w:rsid w:val="00A54FB2"/>
    <w:rsid w:val="00A60B96"/>
    <w:rsid w:val="00A6135C"/>
    <w:rsid w:val="00A62A70"/>
    <w:rsid w:val="00A63492"/>
    <w:rsid w:val="00A64344"/>
    <w:rsid w:val="00A64A19"/>
    <w:rsid w:val="00A64B0F"/>
    <w:rsid w:val="00A655FD"/>
    <w:rsid w:val="00A73A41"/>
    <w:rsid w:val="00A73DE9"/>
    <w:rsid w:val="00A759F9"/>
    <w:rsid w:val="00A7750D"/>
    <w:rsid w:val="00A933A9"/>
    <w:rsid w:val="00A965CE"/>
    <w:rsid w:val="00A968C1"/>
    <w:rsid w:val="00A97E8E"/>
    <w:rsid w:val="00AA00AA"/>
    <w:rsid w:val="00AA2056"/>
    <w:rsid w:val="00AA7F00"/>
    <w:rsid w:val="00AB010E"/>
    <w:rsid w:val="00AB0B59"/>
    <w:rsid w:val="00AB2027"/>
    <w:rsid w:val="00AB4A76"/>
    <w:rsid w:val="00AB568D"/>
    <w:rsid w:val="00AB728A"/>
    <w:rsid w:val="00AC1827"/>
    <w:rsid w:val="00AC34E6"/>
    <w:rsid w:val="00AC4365"/>
    <w:rsid w:val="00AC72C8"/>
    <w:rsid w:val="00AD1463"/>
    <w:rsid w:val="00AD1A48"/>
    <w:rsid w:val="00AD22AE"/>
    <w:rsid w:val="00AD2D81"/>
    <w:rsid w:val="00AD31CB"/>
    <w:rsid w:val="00AD3818"/>
    <w:rsid w:val="00AD4197"/>
    <w:rsid w:val="00AD655B"/>
    <w:rsid w:val="00AD7C0A"/>
    <w:rsid w:val="00AE0D08"/>
    <w:rsid w:val="00AE10BB"/>
    <w:rsid w:val="00AE57EA"/>
    <w:rsid w:val="00AE58D1"/>
    <w:rsid w:val="00AE58FE"/>
    <w:rsid w:val="00AE6A7C"/>
    <w:rsid w:val="00AF11B6"/>
    <w:rsid w:val="00AF1970"/>
    <w:rsid w:val="00AF2C98"/>
    <w:rsid w:val="00AF4B1D"/>
    <w:rsid w:val="00AF652D"/>
    <w:rsid w:val="00B008B6"/>
    <w:rsid w:val="00B0140C"/>
    <w:rsid w:val="00B02373"/>
    <w:rsid w:val="00B02770"/>
    <w:rsid w:val="00B0543A"/>
    <w:rsid w:val="00B10B65"/>
    <w:rsid w:val="00B114FB"/>
    <w:rsid w:val="00B1167C"/>
    <w:rsid w:val="00B13339"/>
    <w:rsid w:val="00B13A78"/>
    <w:rsid w:val="00B15387"/>
    <w:rsid w:val="00B21588"/>
    <w:rsid w:val="00B22F3B"/>
    <w:rsid w:val="00B24841"/>
    <w:rsid w:val="00B25AD2"/>
    <w:rsid w:val="00B27221"/>
    <w:rsid w:val="00B27F61"/>
    <w:rsid w:val="00B33FB6"/>
    <w:rsid w:val="00B351DF"/>
    <w:rsid w:val="00B37C09"/>
    <w:rsid w:val="00B41CC6"/>
    <w:rsid w:val="00B4245D"/>
    <w:rsid w:val="00B42D87"/>
    <w:rsid w:val="00B4735C"/>
    <w:rsid w:val="00B5117C"/>
    <w:rsid w:val="00B6482F"/>
    <w:rsid w:val="00B6766D"/>
    <w:rsid w:val="00B712C0"/>
    <w:rsid w:val="00B72AEA"/>
    <w:rsid w:val="00B74591"/>
    <w:rsid w:val="00B7587B"/>
    <w:rsid w:val="00B76C88"/>
    <w:rsid w:val="00B82D47"/>
    <w:rsid w:val="00B84C32"/>
    <w:rsid w:val="00B90A21"/>
    <w:rsid w:val="00B9170A"/>
    <w:rsid w:val="00B921A1"/>
    <w:rsid w:val="00B939F8"/>
    <w:rsid w:val="00B95283"/>
    <w:rsid w:val="00B9656B"/>
    <w:rsid w:val="00BA1CA2"/>
    <w:rsid w:val="00BA2C1F"/>
    <w:rsid w:val="00BA4651"/>
    <w:rsid w:val="00BA6285"/>
    <w:rsid w:val="00BA6B7F"/>
    <w:rsid w:val="00BB0DC4"/>
    <w:rsid w:val="00BB1BE9"/>
    <w:rsid w:val="00BB3392"/>
    <w:rsid w:val="00BB540F"/>
    <w:rsid w:val="00BB7DA2"/>
    <w:rsid w:val="00BC1C61"/>
    <w:rsid w:val="00BC1D7F"/>
    <w:rsid w:val="00BC2D44"/>
    <w:rsid w:val="00BC574C"/>
    <w:rsid w:val="00BC6512"/>
    <w:rsid w:val="00BC666C"/>
    <w:rsid w:val="00BC6746"/>
    <w:rsid w:val="00BD2506"/>
    <w:rsid w:val="00BD39FC"/>
    <w:rsid w:val="00BD3FB0"/>
    <w:rsid w:val="00BD4503"/>
    <w:rsid w:val="00BD6C48"/>
    <w:rsid w:val="00BE2DC8"/>
    <w:rsid w:val="00BE36DB"/>
    <w:rsid w:val="00BE4463"/>
    <w:rsid w:val="00BE57AA"/>
    <w:rsid w:val="00BE64C2"/>
    <w:rsid w:val="00BF0E0E"/>
    <w:rsid w:val="00BF2F67"/>
    <w:rsid w:val="00BF376A"/>
    <w:rsid w:val="00BF3C45"/>
    <w:rsid w:val="00BF7A29"/>
    <w:rsid w:val="00C0060F"/>
    <w:rsid w:val="00C01193"/>
    <w:rsid w:val="00C03A0D"/>
    <w:rsid w:val="00C03E58"/>
    <w:rsid w:val="00C06889"/>
    <w:rsid w:val="00C0697E"/>
    <w:rsid w:val="00C06D81"/>
    <w:rsid w:val="00C06EF6"/>
    <w:rsid w:val="00C07D97"/>
    <w:rsid w:val="00C10245"/>
    <w:rsid w:val="00C11502"/>
    <w:rsid w:val="00C11538"/>
    <w:rsid w:val="00C15511"/>
    <w:rsid w:val="00C16E44"/>
    <w:rsid w:val="00C22078"/>
    <w:rsid w:val="00C2407F"/>
    <w:rsid w:val="00C24570"/>
    <w:rsid w:val="00C262A5"/>
    <w:rsid w:val="00C279EA"/>
    <w:rsid w:val="00C317A9"/>
    <w:rsid w:val="00C34C9C"/>
    <w:rsid w:val="00C36829"/>
    <w:rsid w:val="00C3770F"/>
    <w:rsid w:val="00C43446"/>
    <w:rsid w:val="00C45DC5"/>
    <w:rsid w:val="00C469F5"/>
    <w:rsid w:val="00C51560"/>
    <w:rsid w:val="00C51ED3"/>
    <w:rsid w:val="00C530F9"/>
    <w:rsid w:val="00C53669"/>
    <w:rsid w:val="00C540D0"/>
    <w:rsid w:val="00C55CD8"/>
    <w:rsid w:val="00C56453"/>
    <w:rsid w:val="00C57623"/>
    <w:rsid w:val="00C60B23"/>
    <w:rsid w:val="00C613CC"/>
    <w:rsid w:val="00C630CC"/>
    <w:rsid w:val="00C65137"/>
    <w:rsid w:val="00C65950"/>
    <w:rsid w:val="00C71AA4"/>
    <w:rsid w:val="00C72B09"/>
    <w:rsid w:val="00C74EB2"/>
    <w:rsid w:val="00C77437"/>
    <w:rsid w:val="00C779C0"/>
    <w:rsid w:val="00C83FAA"/>
    <w:rsid w:val="00C8731F"/>
    <w:rsid w:val="00C901C0"/>
    <w:rsid w:val="00C95B2E"/>
    <w:rsid w:val="00C97A1C"/>
    <w:rsid w:val="00CA062F"/>
    <w:rsid w:val="00CA0B94"/>
    <w:rsid w:val="00CA166B"/>
    <w:rsid w:val="00CA23E6"/>
    <w:rsid w:val="00CA6084"/>
    <w:rsid w:val="00CA6ACA"/>
    <w:rsid w:val="00CA6D5F"/>
    <w:rsid w:val="00CA7ADF"/>
    <w:rsid w:val="00CB07BD"/>
    <w:rsid w:val="00CB17D4"/>
    <w:rsid w:val="00CB2AE3"/>
    <w:rsid w:val="00CB4010"/>
    <w:rsid w:val="00CB697D"/>
    <w:rsid w:val="00CB70A2"/>
    <w:rsid w:val="00CB7B63"/>
    <w:rsid w:val="00CB7D10"/>
    <w:rsid w:val="00CC3276"/>
    <w:rsid w:val="00CC4E3B"/>
    <w:rsid w:val="00CC652C"/>
    <w:rsid w:val="00CC660C"/>
    <w:rsid w:val="00CD0ABF"/>
    <w:rsid w:val="00CD10A1"/>
    <w:rsid w:val="00CD1D31"/>
    <w:rsid w:val="00CD29AA"/>
    <w:rsid w:val="00CD4788"/>
    <w:rsid w:val="00CE175F"/>
    <w:rsid w:val="00CE3F81"/>
    <w:rsid w:val="00CE4366"/>
    <w:rsid w:val="00CE539A"/>
    <w:rsid w:val="00CE5F53"/>
    <w:rsid w:val="00CE700F"/>
    <w:rsid w:val="00CF6127"/>
    <w:rsid w:val="00CF7372"/>
    <w:rsid w:val="00CF76C9"/>
    <w:rsid w:val="00D001EE"/>
    <w:rsid w:val="00D009E3"/>
    <w:rsid w:val="00D06E95"/>
    <w:rsid w:val="00D076C1"/>
    <w:rsid w:val="00D07AC8"/>
    <w:rsid w:val="00D10AE0"/>
    <w:rsid w:val="00D21B3D"/>
    <w:rsid w:val="00D223BB"/>
    <w:rsid w:val="00D23C8A"/>
    <w:rsid w:val="00D25904"/>
    <w:rsid w:val="00D26106"/>
    <w:rsid w:val="00D317F9"/>
    <w:rsid w:val="00D322AF"/>
    <w:rsid w:val="00D34D33"/>
    <w:rsid w:val="00D34D4C"/>
    <w:rsid w:val="00D36216"/>
    <w:rsid w:val="00D363BA"/>
    <w:rsid w:val="00D3740F"/>
    <w:rsid w:val="00D37ADA"/>
    <w:rsid w:val="00D42647"/>
    <w:rsid w:val="00D45372"/>
    <w:rsid w:val="00D46935"/>
    <w:rsid w:val="00D476C4"/>
    <w:rsid w:val="00D479B4"/>
    <w:rsid w:val="00D50267"/>
    <w:rsid w:val="00D50EF6"/>
    <w:rsid w:val="00D51D28"/>
    <w:rsid w:val="00D52C56"/>
    <w:rsid w:val="00D54C11"/>
    <w:rsid w:val="00D56D22"/>
    <w:rsid w:val="00D60190"/>
    <w:rsid w:val="00D60351"/>
    <w:rsid w:val="00D6041B"/>
    <w:rsid w:val="00D616B6"/>
    <w:rsid w:val="00D6170E"/>
    <w:rsid w:val="00D63229"/>
    <w:rsid w:val="00D64F9B"/>
    <w:rsid w:val="00D65C65"/>
    <w:rsid w:val="00D67E3F"/>
    <w:rsid w:val="00D714B3"/>
    <w:rsid w:val="00D81B2B"/>
    <w:rsid w:val="00D82178"/>
    <w:rsid w:val="00D831AA"/>
    <w:rsid w:val="00D83FA5"/>
    <w:rsid w:val="00D85601"/>
    <w:rsid w:val="00D85D8F"/>
    <w:rsid w:val="00D87EA6"/>
    <w:rsid w:val="00D90136"/>
    <w:rsid w:val="00D94E3F"/>
    <w:rsid w:val="00DA02D2"/>
    <w:rsid w:val="00DA1919"/>
    <w:rsid w:val="00DA4D8A"/>
    <w:rsid w:val="00DA6C00"/>
    <w:rsid w:val="00DA6F77"/>
    <w:rsid w:val="00DB0326"/>
    <w:rsid w:val="00DB50EC"/>
    <w:rsid w:val="00DB6F9E"/>
    <w:rsid w:val="00DC2148"/>
    <w:rsid w:val="00DD0ED1"/>
    <w:rsid w:val="00DD3BDF"/>
    <w:rsid w:val="00DD51CE"/>
    <w:rsid w:val="00DD5340"/>
    <w:rsid w:val="00DD61C6"/>
    <w:rsid w:val="00DD654C"/>
    <w:rsid w:val="00DE65F1"/>
    <w:rsid w:val="00DE7205"/>
    <w:rsid w:val="00DE793F"/>
    <w:rsid w:val="00DF70F2"/>
    <w:rsid w:val="00E00022"/>
    <w:rsid w:val="00E0224E"/>
    <w:rsid w:val="00E03F0B"/>
    <w:rsid w:val="00E06427"/>
    <w:rsid w:val="00E06CA3"/>
    <w:rsid w:val="00E06DE1"/>
    <w:rsid w:val="00E07F8B"/>
    <w:rsid w:val="00E10675"/>
    <w:rsid w:val="00E1292C"/>
    <w:rsid w:val="00E14E5D"/>
    <w:rsid w:val="00E21ED1"/>
    <w:rsid w:val="00E23281"/>
    <w:rsid w:val="00E23480"/>
    <w:rsid w:val="00E24F76"/>
    <w:rsid w:val="00E30DAC"/>
    <w:rsid w:val="00E34DEE"/>
    <w:rsid w:val="00E357ED"/>
    <w:rsid w:val="00E36769"/>
    <w:rsid w:val="00E40547"/>
    <w:rsid w:val="00E416C6"/>
    <w:rsid w:val="00E42972"/>
    <w:rsid w:val="00E435E5"/>
    <w:rsid w:val="00E46349"/>
    <w:rsid w:val="00E46AA5"/>
    <w:rsid w:val="00E54788"/>
    <w:rsid w:val="00E54812"/>
    <w:rsid w:val="00E56785"/>
    <w:rsid w:val="00E56B92"/>
    <w:rsid w:val="00E57572"/>
    <w:rsid w:val="00E668DC"/>
    <w:rsid w:val="00E74347"/>
    <w:rsid w:val="00E762F7"/>
    <w:rsid w:val="00E80005"/>
    <w:rsid w:val="00E8040D"/>
    <w:rsid w:val="00E82D70"/>
    <w:rsid w:val="00E934FE"/>
    <w:rsid w:val="00E9581D"/>
    <w:rsid w:val="00EA411F"/>
    <w:rsid w:val="00EA4300"/>
    <w:rsid w:val="00EA4994"/>
    <w:rsid w:val="00EA5AE2"/>
    <w:rsid w:val="00EA7566"/>
    <w:rsid w:val="00EB0404"/>
    <w:rsid w:val="00EB1C3E"/>
    <w:rsid w:val="00EB25DF"/>
    <w:rsid w:val="00EB3BD4"/>
    <w:rsid w:val="00EB493C"/>
    <w:rsid w:val="00EB5E60"/>
    <w:rsid w:val="00EB765F"/>
    <w:rsid w:val="00EC245A"/>
    <w:rsid w:val="00EC5C47"/>
    <w:rsid w:val="00EC67E9"/>
    <w:rsid w:val="00EC7D52"/>
    <w:rsid w:val="00ED1ECA"/>
    <w:rsid w:val="00ED3818"/>
    <w:rsid w:val="00ED456A"/>
    <w:rsid w:val="00ED7DD6"/>
    <w:rsid w:val="00ED7DF5"/>
    <w:rsid w:val="00EE2D1F"/>
    <w:rsid w:val="00EE3FCD"/>
    <w:rsid w:val="00EE46A9"/>
    <w:rsid w:val="00EE679D"/>
    <w:rsid w:val="00EE77F6"/>
    <w:rsid w:val="00F001A2"/>
    <w:rsid w:val="00F01EEF"/>
    <w:rsid w:val="00F03388"/>
    <w:rsid w:val="00F03D84"/>
    <w:rsid w:val="00F04BF9"/>
    <w:rsid w:val="00F05B3C"/>
    <w:rsid w:val="00F06ACE"/>
    <w:rsid w:val="00F07AC7"/>
    <w:rsid w:val="00F10B96"/>
    <w:rsid w:val="00F14EB3"/>
    <w:rsid w:val="00F15804"/>
    <w:rsid w:val="00F15978"/>
    <w:rsid w:val="00F17265"/>
    <w:rsid w:val="00F21632"/>
    <w:rsid w:val="00F227E1"/>
    <w:rsid w:val="00F23E0A"/>
    <w:rsid w:val="00F2453C"/>
    <w:rsid w:val="00F24FC1"/>
    <w:rsid w:val="00F26B1B"/>
    <w:rsid w:val="00F26F65"/>
    <w:rsid w:val="00F273C6"/>
    <w:rsid w:val="00F334D5"/>
    <w:rsid w:val="00F33F3B"/>
    <w:rsid w:val="00F3527F"/>
    <w:rsid w:val="00F36C89"/>
    <w:rsid w:val="00F37EF8"/>
    <w:rsid w:val="00F40298"/>
    <w:rsid w:val="00F442AD"/>
    <w:rsid w:val="00F4456F"/>
    <w:rsid w:val="00F451C2"/>
    <w:rsid w:val="00F5562F"/>
    <w:rsid w:val="00F563C8"/>
    <w:rsid w:val="00F6250F"/>
    <w:rsid w:val="00F63F3F"/>
    <w:rsid w:val="00F64D01"/>
    <w:rsid w:val="00F65177"/>
    <w:rsid w:val="00F671E3"/>
    <w:rsid w:val="00F71DD6"/>
    <w:rsid w:val="00F80C60"/>
    <w:rsid w:val="00F8137C"/>
    <w:rsid w:val="00F839F1"/>
    <w:rsid w:val="00F843E2"/>
    <w:rsid w:val="00F85295"/>
    <w:rsid w:val="00F8764D"/>
    <w:rsid w:val="00F87DC2"/>
    <w:rsid w:val="00F9016A"/>
    <w:rsid w:val="00F94F16"/>
    <w:rsid w:val="00FA06D1"/>
    <w:rsid w:val="00FA25AE"/>
    <w:rsid w:val="00FA349E"/>
    <w:rsid w:val="00FB1869"/>
    <w:rsid w:val="00FB3E05"/>
    <w:rsid w:val="00FB6C61"/>
    <w:rsid w:val="00FC0989"/>
    <w:rsid w:val="00FC1389"/>
    <w:rsid w:val="00FC32C0"/>
    <w:rsid w:val="00FC3C73"/>
    <w:rsid w:val="00FC5A7F"/>
    <w:rsid w:val="00FC5F77"/>
    <w:rsid w:val="00FC78EA"/>
    <w:rsid w:val="00FD00F1"/>
    <w:rsid w:val="00FD1B0C"/>
    <w:rsid w:val="00FD1B5D"/>
    <w:rsid w:val="00FD3BED"/>
    <w:rsid w:val="00FD4775"/>
    <w:rsid w:val="00FD4967"/>
    <w:rsid w:val="00FD6641"/>
    <w:rsid w:val="00FD6CC0"/>
    <w:rsid w:val="00FD7583"/>
    <w:rsid w:val="00FE281B"/>
    <w:rsid w:val="00FE526E"/>
    <w:rsid w:val="00FE6A83"/>
    <w:rsid w:val="00FE6CBA"/>
    <w:rsid w:val="00FE7F97"/>
    <w:rsid w:val="00FF2B8A"/>
    <w:rsid w:val="00FF362E"/>
    <w:rsid w:val="00FF40EA"/>
    <w:rsid w:val="00FF488B"/>
    <w:rsid w:val="00FF58A9"/>
    <w:rsid w:val="00FF7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658CC3F4"/>
  <w15:docId w15:val="{4807B5B7-690F-444A-B651-568A73E6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before="20" w:after="20"/>
      </w:pPr>
    </w:pPrDefault>
  </w:docDefaults>
  <w:latentStyles w:defLockedState="0" w:defUIPriority="99" w:defSemiHidden="0" w:defUnhideWhenUsed="0" w:defQFormat="0" w:count="376">
    <w:lsdException w:name="Normal" w:uiPriority="3"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lsdException w:name="heading 6" w:semiHidden="1" w:uiPriority="4" w:unhideWhenUsed="1"/>
    <w:lsdException w:name="heading 7" w:semiHidden="1" w:uiPriority="4"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4" w:unhideWhenUsed="1"/>
    <w:lsdException w:name="footer" w:semiHidden="1" w:unhideWhenUsed="1"/>
    <w:lsdException w:name="index heading" w:semiHidden="1" w:unhideWhenUsed="1"/>
    <w:lsdException w:name="caption" w:semiHidden="1" w:uiPriority="4"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3"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rsid w:val="009F4F04"/>
    <w:pPr>
      <w:spacing w:after="0" w:line="280" w:lineRule="atLeast"/>
      <w:jc w:val="both"/>
    </w:pPr>
    <w:rPr>
      <w:rFonts w:ascii="Arial" w:hAnsi="Arial" w:cs="Arial"/>
      <w:iCs/>
      <w:color w:val="FFFFFF" w:themeColor="text1"/>
    </w:rPr>
  </w:style>
  <w:style w:type="paragraph" w:styleId="Heading1">
    <w:name w:val="heading 1"/>
    <w:next w:val="BodyTextGrey"/>
    <w:link w:val="Heading1Char"/>
    <w:qFormat/>
    <w:rsid w:val="006C2E18"/>
    <w:pPr>
      <w:keepNext/>
      <w:keepLines/>
      <w:spacing w:before="140" w:after="140" w:line="360" w:lineRule="atLeast"/>
      <w:outlineLvl w:val="0"/>
    </w:pPr>
    <w:rPr>
      <w:rFonts w:ascii="Arial" w:hAnsi="Arial"/>
      <w:color w:val="3FA6CC"/>
      <w:kern w:val="28"/>
      <w:sz w:val="36"/>
      <w:lang w:eastAsia="en-US"/>
    </w:rPr>
  </w:style>
  <w:style w:type="paragraph" w:styleId="Heading2">
    <w:name w:val="heading 2"/>
    <w:next w:val="BodyTextGrey"/>
    <w:link w:val="Heading2Char"/>
    <w:qFormat/>
    <w:rsid w:val="00773FF9"/>
    <w:pPr>
      <w:keepNext/>
      <w:keepLines/>
      <w:spacing w:before="0" w:after="0" w:line="280" w:lineRule="atLeast"/>
      <w:outlineLvl w:val="1"/>
    </w:pPr>
    <w:rPr>
      <w:rFonts w:ascii="Arial" w:hAnsi="Arial" w:cs="Arial"/>
      <w:b/>
      <w:iCs/>
      <w:color w:val="455560" w:themeColor="accent5"/>
      <w:lang w:eastAsia="en-US"/>
    </w:rPr>
  </w:style>
  <w:style w:type="paragraph" w:styleId="Heading3">
    <w:name w:val="heading 3"/>
    <w:next w:val="BodyTextGrey"/>
    <w:link w:val="Heading3Char"/>
    <w:qFormat/>
    <w:rsid w:val="00773FF9"/>
    <w:pPr>
      <w:keepNext/>
      <w:keepLines/>
      <w:spacing w:after="200" w:line="280" w:lineRule="atLeast"/>
      <w:outlineLvl w:val="2"/>
    </w:pPr>
    <w:rPr>
      <w:rFonts w:ascii="Arial" w:hAnsi="Arial" w:cs="Arial"/>
      <w:b/>
      <w:iCs/>
      <w:color w:val="85898A" w:themeColor="accent6"/>
      <w:lang w:eastAsia="en-US"/>
    </w:rPr>
  </w:style>
  <w:style w:type="paragraph" w:styleId="Heading4">
    <w:name w:val="heading 4"/>
    <w:next w:val="BodyTextGrey"/>
    <w:link w:val="Heading4Char"/>
    <w:qFormat/>
    <w:rsid w:val="0031795F"/>
    <w:pPr>
      <w:tabs>
        <w:tab w:val="num" w:pos="0"/>
      </w:tabs>
      <w:spacing w:line="280" w:lineRule="atLeast"/>
      <w:outlineLvl w:val="3"/>
    </w:pPr>
    <w:rPr>
      <w:rFonts w:ascii="Arial" w:hAnsi="Arial" w:cs="Arial"/>
      <w:b/>
      <w:iCs/>
      <w:color w:val="455560"/>
      <w:lang w:eastAsia="en-US"/>
    </w:rPr>
  </w:style>
  <w:style w:type="paragraph" w:styleId="Heading5">
    <w:name w:val="heading 5"/>
    <w:aliases w:val="Briefing note heading"/>
    <w:next w:val="Normal"/>
    <w:link w:val="Heading5Char"/>
    <w:uiPriority w:val="4"/>
    <w:unhideWhenUsed/>
    <w:rsid w:val="0098213E"/>
    <w:pPr>
      <w:spacing w:before="240" w:after="60"/>
      <w:jc w:val="both"/>
      <w:outlineLvl w:val="4"/>
    </w:pPr>
    <w:rPr>
      <w:rFonts w:ascii="Arial" w:hAnsi="Arial" w:cs="Tahoma"/>
      <w:color w:val="40A6CC"/>
      <w:spacing w:val="20"/>
      <w:szCs w:val="146"/>
    </w:rPr>
  </w:style>
  <w:style w:type="paragraph" w:styleId="Heading6">
    <w:name w:val="heading 6"/>
    <w:basedOn w:val="Normal"/>
    <w:next w:val="Normal"/>
    <w:link w:val="Heading6Char"/>
    <w:uiPriority w:val="4"/>
    <w:unhideWhenUsed/>
    <w:rsid w:val="0098213E"/>
    <w:pPr>
      <w:tabs>
        <w:tab w:val="num" w:pos="0"/>
      </w:tabs>
      <w:spacing w:before="240" w:after="60"/>
      <w:outlineLvl w:val="5"/>
    </w:pPr>
    <w:rPr>
      <w:i/>
    </w:rPr>
  </w:style>
  <w:style w:type="paragraph" w:styleId="Heading7">
    <w:name w:val="heading 7"/>
    <w:basedOn w:val="Normal"/>
    <w:next w:val="Normal"/>
    <w:link w:val="Heading7Char"/>
    <w:uiPriority w:val="4"/>
    <w:semiHidden/>
    <w:unhideWhenUsed/>
    <w:rsid w:val="0098213E"/>
    <w:pPr>
      <w:tabs>
        <w:tab w:val="num" w:pos="0"/>
      </w:tabs>
      <w:spacing w:before="240" w:after="60"/>
      <w:outlineLvl w:val="6"/>
    </w:pPr>
    <w:rPr>
      <w:sz w:val="24"/>
    </w:rPr>
  </w:style>
  <w:style w:type="paragraph" w:styleId="Heading8">
    <w:name w:val="heading 8"/>
    <w:basedOn w:val="Normal"/>
    <w:link w:val="Heading8Char"/>
    <w:semiHidden/>
    <w:unhideWhenUsed/>
    <w:rsid w:val="0098213E"/>
    <w:pPr>
      <w:tabs>
        <w:tab w:val="num" w:pos="0"/>
      </w:tabs>
      <w:spacing w:after="240"/>
      <w:ind w:left="720" w:hanging="720"/>
      <w:outlineLvl w:val="7"/>
    </w:pPr>
    <w:rPr>
      <w:b/>
    </w:rPr>
  </w:style>
  <w:style w:type="paragraph" w:styleId="Heading9">
    <w:name w:val="heading 9"/>
    <w:basedOn w:val="Normal"/>
    <w:link w:val="Heading9Char"/>
    <w:semiHidden/>
    <w:unhideWhenUsed/>
    <w:rsid w:val="0098213E"/>
    <w:pPr>
      <w:tabs>
        <w:tab w:val="num" w:pos="0"/>
      </w:tabs>
      <w:spacing w:before="240" w:after="60"/>
      <w:ind w:left="360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1">
    <w:name w:val="Appendix 1"/>
    <w:basedOn w:val="AppendixSubheading"/>
    <w:next w:val="BodyTextGrey"/>
    <w:uiPriority w:val="3"/>
    <w:qFormat/>
    <w:rsid w:val="00773FF9"/>
    <w:rPr>
      <w:color w:val="3FA6CC" w:themeColor="accent1"/>
    </w:rPr>
  </w:style>
  <w:style w:type="character" w:customStyle="1" w:styleId="Heading1Char">
    <w:name w:val="Heading 1 Char"/>
    <w:basedOn w:val="DefaultParagraphFont"/>
    <w:link w:val="Heading1"/>
    <w:rsid w:val="0098213E"/>
    <w:rPr>
      <w:rFonts w:ascii="Arial" w:hAnsi="Arial"/>
      <w:color w:val="3FA6CC"/>
      <w:kern w:val="28"/>
      <w:sz w:val="36"/>
      <w:lang w:eastAsia="en-US"/>
    </w:rPr>
  </w:style>
  <w:style w:type="paragraph" w:styleId="BodyText">
    <w:name w:val="Body Text"/>
    <w:aliases w:val="Body Text Black"/>
    <w:link w:val="BodyTextChar"/>
    <w:uiPriority w:val="1"/>
    <w:qFormat/>
    <w:rsid w:val="0098213E"/>
    <w:pPr>
      <w:spacing w:line="280" w:lineRule="atLeast"/>
    </w:pPr>
    <w:rPr>
      <w:rFonts w:ascii="Arial" w:hAnsi="Arial" w:cs="Arial"/>
      <w:iCs/>
    </w:rPr>
  </w:style>
  <w:style w:type="character" w:customStyle="1" w:styleId="BodyTextChar">
    <w:name w:val="Body Text Char"/>
    <w:aliases w:val="Body Text Black Char"/>
    <w:basedOn w:val="DefaultParagraphFont"/>
    <w:link w:val="BodyText"/>
    <w:rsid w:val="0000606C"/>
    <w:rPr>
      <w:rFonts w:ascii="Arial" w:eastAsia="Times New Roman" w:hAnsi="Arial" w:cs="Arial"/>
      <w:iCs/>
      <w:sz w:val="20"/>
      <w:szCs w:val="20"/>
    </w:rPr>
  </w:style>
  <w:style w:type="paragraph" w:customStyle="1" w:styleId="Appendix2">
    <w:name w:val="Appendix 2"/>
    <w:basedOn w:val="Heading2"/>
    <w:next w:val="BodyTextGrey"/>
    <w:uiPriority w:val="3"/>
    <w:qFormat/>
    <w:rsid w:val="000F31CE"/>
    <w:rPr>
      <w:szCs w:val="22"/>
    </w:rPr>
  </w:style>
  <w:style w:type="character" w:customStyle="1" w:styleId="Heading2Char">
    <w:name w:val="Heading 2 Char"/>
    <w:basedOn w:val="DefaultParagraphFont"/>
    <w:link w:val="Heading2"/>
    <w:rsid w:val="00773FF9"/>
    <w:rPr>
      <w:rFonts w:ascii="Arial" w:hAnsi="Arial" w:cs="Arial"/>
      <w:b/>
      <w:iCs/>
      <w:color w:val="455560" w:themeColor="accent5"/>
      <w:lang w:eastAsia="en-US"/>
    </w:rPr>
  </w:style>
  <w:style w:type="paragraph" w:customStyle="1" w:styleId="Appendix3">
    <w:name w:val="Appendix 3"/>
    <w:basedOn w:val="Heading3"/>
    <w:next w:val="BodyTextGrey"/>
    <w:uiPriority w:val="3"/>
    <w:qFormat/>
    <w:rsid w:val="006C2E18"/>
  </w:style>
  <w:style w:type="character" w:customStyle="1" w:styleId="Heading3Char">
    <w:name w:val="Heading 3 Char"/>
    <w:basedOn w:val="DefaultParagraphFont"/>
    <w:link w:val="Heading3"/>
    <w:rsid w:val="00773FF9"/>
    <w:rPr>
      <w:rFonts w:ascii="Arial" w:hAnsi="Arial" w:cs="Arial"/>
      <w:b/>
      <w:iCs/>
      <w:color w:val="85898A" w:themeColor="accent6"/>
      <w:lang w:eastAsia="en-US"/>
    </w:rPr>
  </w:style>
  <w:style w:type="paragraph" w:customStyle="1" w:styleId="FooterText">
    <w:name w:val="Footer Text"/>
    <w:basedOn w:val="BodyText"/>
    <w:uiPriority w:val="4"/>
    <w:rsid w:val="00425E54"/>
    <w:pPr>
      <w:keepLines/>
      <w:pBdr>
        <w:top w:val="single" w:sz="2" w:space="4" w:color="646464"/>
      </w:pBdr>
      <w:spacing w:after="0"/>
      <w:ind w:left="-425"/>
    </w:pPr>
    <w:rPr>
      <w:color w:val="4B4B4B"/>
    </w:rPr>
  </w:style>
  <w:style w:type="paragraph" w:customStyle="1" w:styleId="FreedomHeading">
    <w:name w:val="Freedom Heading"/>
    <w:basedOn w:val="Heading1"/>
    <w:next w:val="BodyText"/>
    <w:uiPriority w:val="4"/>
    <w:rsid w:val="0098213E"/>
    <w:rPr>
      <w:caps/>
      <w:color w:val="40A6CC"/>
    </w:rPr>
  </w:style>
  <w:style w:type="paragraph" w:customStyle="1" w:styleId="hBullet1">
    <w:name w:val="hBullet1"/>
    <w:basedOn w:val="BodyText"/>
    <w:uiPriority w:val="3"/>
    <w:rsid w:val="0098213E"/>
    <w:pPr>
      <w:widowControl w:val="0"/>
      <w:numPr>
        <w:numId w:val="4"/>
      </w:numPr>
      <w:spacing w:before="120" w:after="120"/>
    </w:pPr>
    <w:rPr>
      <w:rFonts w:cs="Times New Roman"/>
      <w:iCs w:val="0"/>
      <w:szCs w:val="24"/>
    </w:rPr>
  </w:style>
  <w:style w:type="paragraph" w:customStyle="1" w:styleId="hBullet2">
    <w:name w:val="hBullet2"/>
    <w:basedOn w:val="BodyText"/>
    <w:uiPriority w:val="3"/>
    <w:rsid w:val="0098213E"/>
    <w:pPr>
      <w:widowControl w:val="0"/>
      <w:numPr>
        <w:numId w:val="5"/>
      </w:numPr>
      <w:spacing w:before="120" w:after="120"/>
    </w:pPr>
    <w:rPr>
      <w:rFonts w:cs="Times New Roman"/>
      <w:iCs w:val="0"/>
      <w:szCs w:val="24"/>
    </w:rPr>
  </w:style>
  <w:style w:type="paragraph" w:customStyle="1" w:styleId="hBullet3">
    <w:name w:val="hBullet3"/>
    <w:basedOn w:val="BodyText"/>
    <w:uiPriority w:val="3"/>
    <w:rsid w:val="0098213E"/>
    <w:pPr>
      <w:widowControl w:val="0"/>
      <w:numPr>
        <w:numId w:val="6"/>
      </w:numPr>
      <w:spacing w:before="120" w:after="120"/>
    </w:pPr>
    <w:rPr>
      <w:rFonts w:cs="Times New Roman"/>
      <w:iCs w:val="0"/>
      <w:szCs w:val="24"/>
    </w:rPr>
  </w:style>
  <w:style w:type="paragraph" w:customStyle="1" w:styleId="hBullets">
    <w:name w:val="hBullets"/>
    <w:uiPriority w:val="3"/>
    <w:rsid w:val="0098213E"/>
    <w:pPr>
      <w:numPr>
        <w:numId w:val="7"/>
      </w:numPr>
      <w:spacing w:line="280" w:lineRule="atLeast"/>
    </w:pPr>
    <w:rPr>
      <w:rFonts w:ascii="Arial" w:hAnsi="Arial"/>
      <w:color w:val="4B4B4B"/>
      <w:szCs w:val="24"/>
    </w:rPr>
  </w:style>
  <w:style w:type="paragraph" w:customStyle="1" w:styleId="Heading1Num">
    <w:name w:val="Heading 1 Num"/>
    <w:basedOn w:val="Heading1"/>
    <w:next w:val="BodyTextGrey"/>
    <w:uiPriority w:val="1"/>
    <w:qFormat/>
    <w:rsid w:val="006C2E18"/>
    <w:pPr>
      <w:numPr>
        <w:numId w:val="1"/>
      </w:numPr>
    </w:pPr>
  </w:style>
  <w:style w:type="paragraph" w:customStyle="1" w:styleId="Heading2Num">
    <w:name w:val="Heading 2 Num"/>
    <w:basedOn w:val="Heading2"/>
    <w:next w:val="BodyTextGrey"/>
    <w:link w:val="Heading2NumChar"/>
    <w:uiPriority w:val="1"/>
    <w:qFormat/>
    <w:rsid w:val="00773FF9"/>
    <w:pPr>
      <w:numPr>
        <w:ilvl w:val="1"/>
        <w:numId w:val="1"/>
      </w:numPr>
    </w:pPr>
  </w:style>
  <w:style w:type="paragraph" w:customStyle="1" w:styleId="Heading3Num">
    <w:name w:val="Heading 3 Num"/>
    <w:basedOn w:val="Heading3"/>
    <w:next w:val="BodyTextGrey"/>
    <w:link w:val="Heading3NumChar"/>
    <w:uiPriority w:val="1"/>
    <w:qFormat/>
    <w:rsid w:val="00773FF9"/>
    <w:pPr>
      <w:numPr>
        <w:ilvl w:val="2"/>
        <w:numId w:val="1"/>
      </w:numPr>
    </w:pPr>
  </w:style>
  <w:style w:type="paragraph" w:customStyle="1" w:styleId="hNumber1">
    <w:name w:val="hNumber1"/>
    <w:uiPriority w:val="3"/>
    <w:rsid w:val="0098213E"/>
    <w:pPr>
      <w:widowControl w:val="0"/>
      <w:numPr>
        <w:numId w:val="8"/>
      </w:numPr>
      <w:spacing w:line="280" w:lineRule="atLeast"/>
    </w:pPr>
    <w:rPr>
      <w:rFonts w:ascii="Arial" w:hAnsi="Arial"/>
      <w:color w:val="4B4B4B"/>
      <w:szCs w:val="24"/>
    </w:rPr>
  </w:style>
  <w:style w:type="numbering" w:customStyle="1" w:styleId="HRNumber">
    <w:name w:val="HR Number"/>
    <w:uiPriority w:val="99"/>
    <w:rsid w:val="0092629D"/>
    <w:pPr>
      <w:numPr>
        <w:numId w:val="2"/>
      </w:numPr>
    </w:pPr>
  </w:style>
  <w:style w:type="paragraph" w:customStyle="1" w:styleId="HymanHeader">
    <w:name w:val="HymanHeader"/>
    <w:basedOn w:val="BodyText"/>
    <w:uiPriority w:val="3"/>
    <w:rsid w:val="00302D29"/>
    <w:pPr>
      <w:pBdr>
        <w:top w:val="single" w:sz="2" w:space="4" w:color="646464"/>
      </w:pBdr>
      <w:ind w:left="-425"/>
    </w:pPr>
    <w:rPr>
      <w:color w:val="4B4B4B"/>
      <w:lang w:val="fr-FR"/>
    </w:rPr>
  </w:style>
  <w:style w:type="paragraph" w:customStyle="1" w:styleId="LetterDate">
    <w:name w:val="Letter Date"/>
    <w:basedOn w:val="BodyText"/>
    <w:next w:val="BodyText"/>
    <w:uiPriority w:val="3"/>
    <w:rsid w:val="0098213E"/>
    <w:pPr>
      <w:spacing w:before="480" w:after="480"/>
    </w:pPr>
    <w:rPr>
      <w:rFonts w:cs="Times New Roman"/>
      <w:color w:val="646464"/>
      <w:szCs w:val="28"/>
    </w:rPr>
  </w:style>
  <w:style w:type="paragraph" w:customStyle="1" w:styleId="ListBullet-Hymans">
    <w:name w:val="List Bullet - Hymans"/>
    <w:basedOn w:val="Normal"/>
    <w:uiPriority w:val="3"/>
    <w:rsid w:val="0098213E"/>
    <w:pPr>
      <w:tabs>
        <w:tab w:val="num" w:pos="360"/>
      </w:tabs>
      <w:ind w:left="360" w:hanging="360"/>
    </w:pPr>
  </w:style>
  <w:style w:type="paragraph" w:customStyle="1" w:styleId="NormalLeft">
    <w:name w:val="Normal Left"/>
    <w:basedOn w:val="Normal"/>
    <w:uiPriority w:val="3"/>
    <w:rsid w:val="0098213E"/>
    <w:pPr>
      <w:ind w:left="-400"/>
    </w:pPr>
    <w:rPr>
      <w:rFonts w:cs="Times New Roman"/>
    </w:rPr>
  </w:style>
  <w:style w:type="paragraph" w:customStyle="1" w:styleId="Signatory">
    <w:name w:val="Signatory"/>
    <w:basedOn w:val="BodyText"/>
    <w:uiPriority w:val="3"/>
    <w:rsid w:val="0098213E"/>
    <w:rPr>
      <w:sz w:val="16"/>
    </w:rPr>
  </w:style>
  <w:style w:type="paragraph" w:customStyle="1" w:styleId="StyleLeft45cm">
    <w:name w:val="Style Left:  4.5 cm"/>
    <w:basedOn w:val="Normal"/>
    <w:uiPriority w:val="3"/>
    <w:rsid w:val="0098213E"/>
    <w:pPr>
      <w:ind w:left="2552"/>
    </w:pPr>
    <w:rPr>
      <w:rFonts w:cs="Times New Roman"/>
    </w:rPr>
  </w:style>
  <w:style w:type="paragraph" w:customStyle="1" w:styleId="StyleTenderVerticalSmallLeftBefore1ptAfter1pt">
    <w:name w:val="Style Tender Vertical Small + Left Before:  1 pt After:  1 pt"/>
    <w:basedOn w:val="TenderVerticalSmall"/>
    <w:rsid w:val="0098213E"/>
    <w:pPr>
      <w:spacing w:after="20"/>
      <w:jc w:val="left"/>
    </w:pPr>
    <w:rPr>
      <w:rFonts w:cs="Times New Roman"/>
      <w:iCs w:val="0"/>
      <w:szCs w:val="20"/>
    </w:rPr>
  </w:style>
  <w:style w:type="paragraph" w:customStyle="1" w:styleId="TableColumn1">
    <w:name w:val="Table Column1"/>
    <w:basedOn w:val="TableHeader"/>
    <w:autoRedefine/>
    <w:uiPriority w:val="3"/>
    <w:rsid w:val="0098213E"/>
  </w:style>
  <w:style w:type="paragraph" w:customStyle="1" w:styleId="TableHeader">
    <w:name w:val="Table Header"/>
    <w:basedOn w:val="TableText"/>
    <w:uiPriority w:val="3"/>
    <w:rsid w:val="0098213E"/>
    <w:rPr>
      <w:color w:val="FFFFFF"/>
    </w:rPr>
  </w:style>
  <w:style w:type="paragraph" w:customStyle="1" w:styleId="TableText">
    <w:name w:val="Table Text"/>
    <w:basedOn w:val="BodyText"/>
    <w:uiPriority w:val="3"/>
    <w:rsid w:val="0098213E"/>
  </w:style>
  <w:style w:type="paragraph" w:customStyle="1" w:styleId="TableHeaderText-Hymans">
    <w:name w:val="TableHeaderText - Hymans"/>
    <w:basedOn w:val="Normal"/>
    <w:uiPriority w:val="3"/>
    <w:rsid w:val="0098213E"/>
    <w:rPr>
      <w:rFonts w:ascii="Times New Roman" w:hAnsi="Times New Roman" w:cs="Times New Roman"/>
      <w:sz w:val="24"/>
      <w:szCs w:val="24"/>
    </w:rPr>
  </w:style>
  <w:style w:type="paragraph" w:customStyle="1" w:styleId="TableSpacer">
    <w:name w:val="TableSpacer"/>
    <w:basedOn w:val="Normal"/>
    <w:next w:val="Heading2"/>
    <w:uiPriority w:val="3"/>
    <w:rsid w:val="0098213E"/>
    <w:pPr>
      <w:spacing w:before="240"/>
    </w:pPr>
    <w:rPr>
      <w:color w:val="FFFFFF"/>
      <w:sz w:val="24"/>
    </w:rPr>
  </w:style>
  <w:style w:type="paragraph" w:customStyle="1" w:styleId="TableText-Hymans">
    <w:name w:val="TableText - Hymans"/>
    <w:basedOn w:val="Normal"/>
    <w:uiPriority w:val="3"/>
    <w:rsid w:val="0098213E"/>
    <w:rPr>
      <w:rFonts w:ascii="Times New Roman" w:hAnsi="Times New Roman" w:cs="Times New Roman"/>
      <w:sz w:val="24"/>
      <w:szCs w:val="24"/>
    </w:rPr>
  </w:style>
  <w:style w:type="paragraph" w:customStyle="1" w:styleId="TenderAppendix">
    <w:name w:val="Tender Appendix"/>
    <w:next w:val="Normal"/>
    <w:uiPriority w:val="3"/>
    <w:rsid w:val="0098213E"/>
    <w:pPr>
      <w:keepNext/>
      <w:keepLines/>
      <w:spacing w:after="0"/>
    </w:pPr>
    <w:rPr>
      <w:rFonts w:ascii="Arial" w:hAnsi="Arial"/>
      <w:caps/>
      <w:color w:val="40A6CC"/>
      <w:sz w:val="36"/>
    </w:rPr>
  </w:style>
  <w:style w:type="paragraph" w:customStyle="1" w:styleId="TenderBluetext">
    <w:name w:val="Tender Blue text"/>
    <w:basedOn w:val="Normal"/>
    <w:rsid w:val="007336DE"/>
    <w:pPr>
      <w:tabs>
        <w:tab w:val="right" w:pos="6271"/>
      </w:tabs>
      <w:spacing w:before="120"/>
      <w:jc w:val="left"/>
    </w:pPr>
    <w:rPr>
      <w:rFonts w:cs="Times New Roman"/>
      <w:iCs w:val="0"/>
      <w:color w:val="3FA6CC"/>
    </w:rPr>
  </w:style>
  <w:style w:type="paragraph" w:customStyle="1" w:styleId="TenderBullet">
    <w:name w:val="Tender Bullet"/>
    <w:basedOn w:val="Normal"/>
    <w:uiPriority w:val="3"/>
    <w:rsid w:val="0098213E"/>
    <w:pPr>
      <w:tabs>
        <w:tab w:val="num" w:pos="360"/>
      </w:tabs>
      <w:spacing w:after="240"/>
      <w:ind w:left="360" w:right="-3" w:hanging="360"/>
    </w:pPr>
    <w:rPr>
      <w:b/>
    </w:rPr>
  </w:style>
  <w:style w:type="paragraph" w:customStyle="1" w:styleId="TenderH1">
    <w:name w:val="Tender H1"/>
    <w:next w:val="Normal"/>
    <w:uiPriority w:val="3"/>
    <w:rsid w:val="0098213E"/>
    <w:pPr>
      <w:keepNext/>
      <w:keepLines/>
      <w:tabs>
        <w:tab w:val="num" w:pos="0"/>
      </w:tabs>
      <w:spacing w:after="360"/>
      <w:ind w:hanging="403"/>
    </w:pPr>
    <w:rPr>
      <w:rFonts w:ascii="Arial" w:hAnsi="Arial"/>
      <w:caps/>
      <w:color w:val="40A6CC"/>
      <w:sz w:val="36"/>
    </w:rPr>
  </w:style>
  <w:style w:type="paragraph" w:customStyle="1" w:styleId="TenderH2">
    <w:name w:val="Tender H2"/>
    <w:basedOn w:val="Normal"/>
    <w:next w:val="Normal"/>
    <w:uiPriority w:val="3"/>
    <w:rsid w:val="0098213E"/>
    <w:pPr>
      <w:keepNext/>
      <w:keepLines/>
      <w:tabs>
        <w:tab w:val="num" w:pos="0"/>
      </w:tabs>
    </w:pPr>
    <w:rPr>
      <w:caps/>
      <w:color w:val="F06A00"/>
    </w:rPr>
  </w:style>
  <w:style w:type="paragraph" w:customStyle="1" w:styleId="TenderIntro">
    <w:name w:val="Tender Intro"/>
    <w:uiPriority w:val="3"/>
    <w:rsid w:val="0098213E"/>
    <w:pPr>
      <w:spacing w:after="360"/>
      <w:ind w:left="-403"/>
    </w:pPr>
    <w:rPr>
      <w:rFonts w:ascii="Arial" w:hAnsi="Arial"/>
      <w:caps/>
      <w:color w:val="40A6CC"/>
      <w:sz w:val="36"/>
    </w:rPr>
  </w:style>
  <w:style w:type="paragraph" w:customStyle="1" w:styleId="TenderQuestion">
    <w:name w:val="Tender Question"/>
    <w:next w:val="BodyTextGrey"/>
    <w:rsid w:val="006C2E18"/>
    <w:pPr>
      <w:numPr>
        <w:numId w:val="9"/>
      </w:numPr>
      <w:tabs>
        <w:tab w:val="left" w:pos="567"/>
      </w:tabs>
    </w:pPr>
    <w:rPr>
      <w:rFonts w:ascii="Arial" w:hAnsi="Arial" w:cs="Arial"/>
      <w:iCs/>
      <w:color w:val="3FA6CC"/>
      <w:lang w:eastAsia="en-US"/>
    </w:rPr>
  </w:style>
  <w:style w:type="paragraph" w:customStyle="1" w:styleId="TenderTableHeader">
    <w:name w:val="Tender Table Header"/>
    <w:basedOn w:val="Normal"/>
    <w:uiPriority w:val="3"/>
    <w:rsid w:val="0098213E"/>
    <w:rPr>
      <w:color w:val="FFFFFF"/>
    </w:rPr>
  </w:style>
  <w:style w:type="paragraph" w:customStyle="1" w:styleId="TenderVerticalBigBlue">
    <w:name w:val="Tender Vertical Big Blue"/>
    <w:link w:val="TenderVerticalBigBlueChar"/>
    <w:rsid w:val="0098213E"/>
    <w:pPr>
      <w:tabs>
        <w:tab w:val="right" w:pos="9180"/>
      </w:tabs>
      <w:spacing w:after="0" w:line="280" w:lineRule="atLeast"/>
    </w:pPr>
    <w:rPr>
      <w:rFonts w:ascii="Arial" w:hAnsi="Arial" w:cs="Arial"/>
      <w:iCs/>
      <w:caps/>
      <w:color w:val="40A6CC"/>
      <w:sz w:val="112"/>
      <w:szCs w:val="112"/>
    </w:rPr>
  </w:style>
  <w:style w:type="paragraph" w:customStyle="1" w:styleId="TenderVerticalSmall">
    <w:name w:val="Tender Vertical Small"/>
    <w:basedOn w:val="Normal"/>
    <w:uiPriority w:val="3"/>
    <w:rsid w:val="0098213E"/>
    <w:pPr>
      <w:tabs>
        <w:tab w:val="right" w:pos="9180"/>
      </w:tabs>
    </w:pPr>
    <w:rPr>
      <w:caps/>
      <w:color w:val="646464"/>
      <w:sz w:val="36"/>
      <w:szCs w:val="36"/>
    </w:rPr>
  </w:style>
  <w:style w:type="paragraph" w:customStyle="1" w:styleId="TitleLogo">
    <w:name w:val="Title Logo"/>
    <w:basedOn w:val="Normal"/>
    <w:uiPriority w:val="3"/>
    <w:rsid w:val="0098213E"/>
    <w:pPr>
      <w:spacing w:before="1200" w:after="1560"/>
    </w:pPr>
    <w:rPr>
      <w:b/>
      <w:sz w:val="56"/>
    </w:rPr>
  </w:style>
  <w:style w:type="paragraph" w:customStyle="1" w:styleId="Action">
    <w:name w:val="Action"/>
    <w:basedOn w:val="BodyText"/>
    <w:next w:val="BodyText"/>
    <w:link w:val="ActionChar"/>
    <w:uiPriority w:val="3"/>
    <w:rsid w:val="0098213E"/>
    <w:rPr>
      <w:color w:val="3FA6CC"/>
    </w:rPr>
  </w:style>
  <w:style w:type="character" w:customStyle="1" w:styleId="ActionChar">
    <w:name w:val="Action Char"/>
    <w:basedOn w:val="DefaultParagraphFont"/>
    <w:link w:val="Action"/>
    <w:uiPriority w:val="3"/>
    <w:rsid w:val="003D08BD"/>
    <w:rPr>
      <w:rFonts w:ascii="Arial" w:eastAsia="Times New Roman" w:hAnsi="Arial" w:cs="Arial"/>
      <w:iCs/>
      <w:color w:val="3FA6CC"/>
      <w:sz w:val="20"/>
      <w:szCs w:val="20"/>
    </w:rPr>
  </w:style>
  <w:style w:type="paragraph" w:styleId="Header">
    <w:name w:val="header"/>
    <w:next w:val="BodyTextGrey"/>
    <w:link w:val="HeaderChar"/>
    <w:uiPriority w:val="4"/>
    <w:rsid w:val="00BA6285"/>
    <w:pPr>
      <w:tabs>
        <w:tab w:val="right" w:pos="57"/>
      </w:tabs>
      <w:spacing w:after="80"/>
      <w:ind w:left="-425"/>
    </w:pPr>
    <w:rPr>
      <w:rFonts w:ascii="Arial" w:hAnsi="Arial" w:cs="Arial"/>
      <w:iCs/>
      <w:caps/>
      <w:color w:val="3FA6CC"/>
      <w:szCs w:val="28"/>
    </w:rPr>
  </w:style>
  <w:style w:type="character" w:customStyle="1" w:styleId="HeaderChar">
    <w:name w:val="Header Char"/>
    <w:basedOn w:val="DefaultParagraphFont"/>
    <w:link w:val="Header"/>
    <w:uiPriority w:val="4"/>
    <w:rsid w:val="00BA6285"/>
    <w:rPr>
      <w:rFonts w:ascii="Arial" w:eastAsia="Times New Roman" w:hAnsi="Arial" w:cs="Arial"/>
      <w:iCs/>
      <w:caps/>
      <w:color w:val="3FA6CC"/>
      <w:sz w:val="20"/>
      <w:szCs w:val="28"/>
    </w:rPr>
  </w:style>
  <w:style w:type="paragraph" w:styleId="Footer">
    <w:name w:val="footer"/>
    <w:basedOn w:val="Normal"/>
    <w:link w:val="FooterChar"/>
    <w:uiPriority w:val="99"/>
    <w:rsid w:val="0098213E"/>
    <w:pPr>
      <w:tabs>
        <w:tab w:val="center" w:pos="4153"/>
        <w:tab w:val="right" w:pos="8306"/>
      </w:tabs>
    </w:pPr>
  </w:style>
  <w:style w:type="character" w:customStyle="1" w:styleId="FooterChar">
    <w:name w:val="Footer Char"/>
    <w:basedOn w:val="DefaultParagraphFont"/>
    <w:link w:val="Footer"/>
    <w:uiPriority w:val="99"/>
    <w:rsid w:val="003D08BD"/>
    <w:rPr>
      <w:rFonts w:ascii="Arial" w:eastAsia="Times New Roman" w:hAnsi="Arial" w:cs="Arial"/>
      <w:iCs/>
      <w:color w:val="FFFFFF" w:themeColor="text1"/>
      <w:sz w:val="20"/>
      <w:szCs w:val="20"/>
    </w:rPr>
  </w:style>
  <w:style w:type="table" w:styleId="TableGrid">
    <w:name w:val="Table Grid"/>
    <w:basedOn w:val="TableNormal"/>
    <w:rsid w:val="00161697"/>
    <w:rPr>
      <w:color w:val="45556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LightShading-Accent11">
    <w:name w:val="Light Shading - Accent 11"/>
    <w:aliases w:val="serena"/>
    <w:basedOn w:val="TableNormal"/>
    <w:uiPriority w:val="60"/>
    <w:rsid w:val="0098213E"/>
    <w:pPr>
      <w:spacing w:after="0"/>
    </w:pPr>
    <w:rPr>
      <w:color w:val="2A7E9D" w:themeColor="accent1" w:themeShade="BF"/>
    </w:rPr>
    <w:tblPr>
      <w:tblStyleRowBandSize w:val="1"/>
      <w:tblStyleColBandSize w:val="1"/>
      <w:tblBorders>
        <w:top w:val="single" w:sz="8" w:space="0" w:color="3FA6CC" w:themeColor="accent1"/>
        <w:bottom w:val="single" w:sz="8" w:space="0" w:color="3FA6CC" w:themeColor="accent1"/>
      </w:tblBorders>
    </w:tblPr>
    <w:tcPr>
      <w:shd w:val="clear" w:color="auto" w:fill="auto"/>
    </w:tcPr>
    <w:tblStylePr w:type="firstRow">
      <w:pPr>
        <w:spacing w:before="0" w:after="0" w:line="240" w:lineRule="auto"/>
      </w:pPr>
      <w:rPr>
        <w:b/>
        <w:bCs/>
        <w:color w:val="auto"/>
      </w:rPr>
      <w:tblPr/>
      <w:tcPr>
        <w:shd w:val="clear" w:color="auto" w:fill="808080" w:themeFill="text2" w:themeFillShade="80"/>
      </w:tcPr>
    </w:tblStylePr>
    <w:tblStylePr w:type="lastRow">
      <w:pPr>
        <w:spacing w:before="0" w:after="0" w:line="240" w:lineRule="auto"/>
      </w:pPr>
      <w:rPr>
        <w:b/>
        <w:bCs/>
      </w:rPr>
      <w:tblPr/>
      <w:tcPr>
        <w:tcBorders>
          <w:top w:val="single" w:sz="8" w:space="0" w:color="3FA6CC" w:themeColor="accent1"/>
          <w:left w:val="nil"/>
          <w:bottom w:val="single" w:sz="8" w:space="0" w:color="3FA6C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8F2" w:themeFill="accent1" w:themeFillTint="3F"/>
      </w:tcPr>
    </w:tblStylePr>
    <w:tblStylePr w:type="band1Horz">
      <w:tblPr/>
      <w:tcPr>
        <w:tcBorders>
          <w:left w:val="nil"/>
          <w:right w:val="nil"/>
          <w:insideH w:val="nil"/>
          <w:insideV w:val="nil"/>
        </w:tcBorders>
        <w:shd w:val="clear" w:color="auto" w:fill="CFE8F2" w:themeFill="accent1" w:themeFillTint="3F"/>
      </w:tcPr>
    </w:tblStylePr>
  </w:style>
  <w:style w:type="table" w:styleId="LightShading-Accent5">
    <w:name w:val="Light Shading Accent 5"/>
    <w:basedOn w:val="TableNormal"/>
    <w:uiPriority w:val="60"/>
    <w:rsid w:val="0098213E"/>
    <w:pPr>
      <w:spacing w:after="0"/>
    </w:pPr>
    <w:rPr>
      <w:color w:val="333F47" w:themeColor="accent5" w:themeShade="BF"/>
    </w:rPr>
    <w:tblPr>
      <w:tblStyleRowBandSize w:val="1"/>
      <w:tblStyleColBandSize w:val="1"/>
      <w:tblBorders>
        <w:top w:val="single" w:sz="8" w:space="0" w:color="455560" w:themeColor="accent5"/>
        <w:bottom w:val="single" w:sz="8" w:space="0" w:color="455560" w:themeColor="accent5"/>
      </w:tblBorders>
    </w:tblPr>
    <w:tblStylePr w:type="firstRow">
      <w:pPr>
        <w:spacing w:before="0" w:after="0" w:line="240" w:lineRule="auto"/>
      </w:pPr>
      <w:rPr>
        <w:b/>
        <w:bCs/>
      </w:rPr>
      <w:tblPr/>
      <w:tcPr>
        <w:tcBorders>
          <w:top w:val="single" w:sz="8" w:space="0" w:color="455560" w:themeColor="accent5"/>
          <w:left w:val="nil"/>
          <w:bottom w:val="single" w:sz="8" w:space="0" w:color="455560" w:themeColor="accent5"/>
          <w:right w:val="nil"/>
          <w:insideH w:val="nil"/>
          <w:insideV w:val="nil"/>
        </w:tcBorders>
      </w:tcPr>
    </w:tblStylePr>
    <w:tblStylePr w:type="lastRow">
      <w:pPr>
        <w:spacing w:before="0" w:after="0" w:line="240" w:lineRule="auto"/>
      </w:pPr>
      <w:rPr>
        <w:b/>
        <w:bCs/>
      </w:rPr>
      <w:tblPr/>
      <w:tcPr>
        <w:tcBorders>
          <w:top w:val="single" w:sz="8" w:space="0" w:color="455560" w:themeColor="accent5"/>
          <w:left w:val="nil"/>
          <w:bottom w:val="single" w:sz="8" w:space="0" w:color="45556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5DB" w:themeFill="accent5" w:themeFillTint="3F"/>
      </w:tcPr>
    </w:tblStylePr>
    <w:tblStylePr w:type="band1Horz">
      <w:tblPr/>
      <w:tcPr>
        <w:tcBorders>
          <w:left w:val="nil"/>
          <w:right w:val="nil"/>
          <w:insideH w:val="nil"/>
          <w:insideV w:val="nil"/>
        </w:tcBorders>
        <w:shd w:val="clear" w:color="auto" w:fill="CDD5DB" w:themeFill="accent5" w:themeFillTint="3F"/>
      </w:tcPr>
    </w:tblStylePr>
  </w:style>
  <w:style w:type="paragraph" w:customStyle="1" w:styleId="BodyTextNum">
    <w:name w:val="Body Text Num"/>
    <w:basedOn w:val="BodyText"/>
    <w:uiPriority w:val="3"/>
    <w:rsid w:val="0098213E"/>
  </w:style>
  <w:style w:type="paragraph" w:customStyle="1" w:styleId="ByLine">
    <w:name w:val="ByLine"/>
    <w:basedOn w:val="Normal"/>
    <w:uiPriority w:val="3"/>
    <w:rsid w:val="0098213E"/>
    <w:pPr>
      <w:framePr w:w="7042" w:h="2448" w:hRule="exact" w:hSpace="187" w:wrap="around" w:hAnchor="page" w:x="3889" w:y="8641" w:anchorLock="1"/>
      <w:spacing w:before="240" w:line="240" w:lineRule="auto"/>
      <w:ind w:left="864"/>
      <w:jc w:val="left"/>
    </w:pPr>
    <w:rPr>
      <w:b/>
      <w:iCs w:val="0"/>
      <w:color w:val="auto"/>
    </w:rPr>
  </w:style>
  <w:style w:type="paragraph" w:styleId="Caption">
    <w:name w:val="caption"/>
    <w:basedOn w:val="Normal"/>
    <w:next w:val="Normal"/>
    <w:uiPriority w:val="4"/>
    <w:rsid w:val="0098213E"/>
    <w:pPr>
      <w:spacing w:before="120" w:after="120"/>
    </w:pPr>
    <w:rPr>
      <w:bCs/>
    </w:rPr>
  </w:style>
  <w:style w:type="character" w:styleId="FootnoteReference">
    <w:name w:val="footnote reference"/>
    <w:basedOn w:val="DefaultParagraphFont"/>
    <w:semiHidden/>
    <w:rsid w:val="0098213E"/>
    <w:rPr>
      <w:vertAlign w:val="superscript"/>
    </w:rPr>
  </w:style>
  <w:style w:type="paragraph" w:styleId="FootnoteText">
    <w:name w:val="footnote text"/>
    <w:basedOn w:val="Normal"/>
    <w:link w:val="FootnoteTextChar"/>
    <w:semiHidden/>
    <w:rsid w:val="0098213E"/>
    <w:pPr>
      <w:spacing w:line="240" w:lineRule="auto"/>
      <w:jc w:val="left"/>
    </w:pPr>
    <w:rPr>
      <w:b/>
      <w:iCs w:val="0"/>
      <w:color w:val="auto"/>
    </w:rPr>
  </w:style>
  <w:style w:type="character" w:customStyle="1" w:styleId="FootnoteTextChar">
    <w:name w:val="Footnote Text Char"/>
    <w:basedOn w:val="DefaultParagraphFont"/>
    <w:link w:val="FootnoteText"/>
    <w:semiHidden/>
    <w:rsid w:val="003D08BD"/>
    <w:rPr>
      <w:rFonts w:ascii="Arial" w:eastAsia="Times New Roman" w:hAnsi="Arial" w:cs="Arial"/>
      <w:b/>
      <w:sz w:val="20"/>
      <w:szCs w:val="20"/>
    </w:rPr>
  </w:style>
  <w:style w:type="character" w:customStyle="1" w:styleId="Heading4Char">
    <w:name w:val="Heading 4 Char"/>
    <w:basedOn w:val="DefaultParagraphFont"/>
    <w:link w:val="Heading4"/>
    <w:rsid w:val="0031795F"/>
    <w:rPr>
      <w:rFonts w:ascii="Arial" w:hAnsi="Arial" w:cs="Arial"/>
      <w:b/>
      <w:iCs/>
      <w:color w:val="455560"/>
      <w:lang w:eastAsia="en-US"/>
    </w:rPr>
  </w:style>
  <w:style w:type="character" w:customStyle="1" w:styleId="Heading5Char">
    <w:name w:val="Heading 5 Char"/>
    <w:aliases w:val="Briefing note heading Char"/>
    <w:basedOn w:val="DefaultParagraphFont"/>
    <w:link w:val="Heading5"/>
    <w:uiPriority w:val="4"/>
    <w:rsid w:val="00DA6F77"/>
    <w:rPr>
      <w:rFonts w:ascii="Arial" w:eastAsia="Times New Roman" w:hAnsi="Arial" w:cs="Tahoma"/>
      <w:color w:val="40A6CC"/>
      <w:spacing w:val="20"/>
      <w:sz w:val="20"/>
      <w:szCs w:val="146"/>
      <w:lang w:eastAsia="en-GB"/>
    </w:rPr>
  </w:style>
  <w:style w:type="character" w:customStyle="1" w:styleId="Heading6Char">
    <w:name w:val="Heading 6 Char"/>
    <w:basedOn w:val="DefaultParagraphFont"/>
    <w:link w:val="Heading6"/>
    <w:uiPriority w:val="4"/>
    <w:rsid w:val="00DA6F77"/>
    <w:rPr>
      <w:rFonts w:ascii="Arial" w:eastAsia="Times New Roman" w:hAnsi="Arial" w:cs="Arial"/>
      <w:i/>
      <w:iCs/>
      <w:color w:val="FFFFFF" w:themeColor="text1"/>
      <w:sz w:val="20"/>
      <w:szCs w:val="20"/>
    </w:rPr>
  </w:style>
  <w:style w:type="character" w:customStyle="1" w:styleId="Heading7Char">
    <w:name w:val="Heading 7 Char"/>
    <w:basedOn w:val="DefaultParagraphFont"/>
    <w:link w:val="Heading7"/>
    <w:uiPriority w:val="4"/>
    <w:semiHidden/>
    <w:rsid w:val="00DA6F77"/>
    <w:rPr>
      <w:rFonts w:ascii="Arial" w:eastAsia="Times New Roman" w:hAnsi="Arial" w:cs="Arial"/>
      <w:iCs/>
      <w:color w:val="FFFFFF" w:themeColor="text1"/>
      <w:sz w:val="24"/>
      <w:szCs w:val="20"/>
    </w:rPr>
  </w:style>
  <w:style w:type="character" w:customStyle="1" w:styleId="Heading8Char">
    <w:name w:val="Heading 8 Char"/>
    <w:basedOn w:val="DefaultParagraphFont"/>
    <w:link w:val="Heading8"/>
    <w:semiHidden/>
    <w:rsid w:val="003D08BD"/>
    <w:rPr>
      <w:rFonts w:ascii="Arial" w:eastAsia="Times New Roman" w:hAnsi="Arial" w:cs="Arial"/>
      <w:b/>
      <w:iCs/>
      <w:color w:val="FFFFFF" w:themeColor="text1"/>
      <w:sz w:val="20"/>
      <w:szCs w:val="20"/>
    </w:rPr>
  </w:style>
  <w:style w:type="character" w:customStyle="1" w:styleId="Heading9Char">
    <w:name w:val="Heading 9 Char"/>
    <w:basedOn w:val="DefaultParagraphFont"/>
    <w:link w:val="Heading9"/>
    <w:semiHidden/>
    <w:rsid w:val="003D08BD"/>
    <w:rPr>
      <w:rFonts w:ascii="Arial" w:eastAsia="Times New Roman" w:hAnsi="Arial" w:cs="Arial"/>
      <w:b/>
      <w:iCs/>
      <w:color w:val="FFFFFF" w:themeColor="text1"/>
      <w:sz w:val="20"/>
      <w:szCs w:val="20"/>
    </w:rPr>
  </w:style>
  <w:style w:type="character" w:styleId="Hyperlink">
    <w:name w:val="Hyperlink"/>
    <w:basedOn w:val="DefaultParagraphFont"/>
    <w:uiPriority w:val="99"/>
    <w:rsid w:val="0098213E"/>
    <w:rPr>
      <w:color w:val="0000FF"/>
      <w:u w:val="single"/>
    </w:rPr>
  </w:style>
  <w:style w:type="paragraph" w:customStyle="1" w:styleId="OrangeTitle">
    <w:name w:val="OrangeTitle"/>
    <w:basedOn w:val="Normal"/>
    <w:uiPriority w:val="3"/>
    <w:rsid w:val="0098213E"/>
    <w:pPr>
      <w:spacing w:after="60"/>
      <w:jc w:val="left"/>
    </w:pPr>
    <w:rPr>
      <w:caps/>
      <w:color w:val="F06A00"/>
    </w:rPr>
  </w:style>
  <w:style w:type="character" w:styleId="PageNumber">
    <w:name w:val="page number"/>
    <w:basedOn w:val="DefaultParagraphFont"/>
    <w:uiPriority w:val="3"/>
    <w:rsid w:val="0098213E"/>
  </w:style>
  <w:style w:type="paragraph" w:customStyle="1" w:styleId="ReportDate">
    <w:name w:val="ReportDate"/>
    <w:basedOn w:val="Normal"/>
    <w:next w:val="Normal"/>
    <w:uiPriority w:val="3"/>
    <w:rsid w:val="0098213E"/>
    <w:pPr>
      <w:framePr w:w="2030" w:hSpace="187" w:wrap="auto" w:vAnchor="page" w:hAnchor="page" w:x="8699" w:y="13249" w:anchorLock="1"/>
      <w:spacing w:line="240" w:lineRule="auto"/>
      <w:jc w:val="right"/>
    </w:pPr>
    <w:rPr>
      <w:b/>
      <w:iCs w:val="0"/>
      <w:noProof/>
      <w:color w:val="auto"/>
      <w:sz w:val="18"/>
    </w:rPr>
  </w:style>
  <w:style w:type="paragraph" w:styleId="TableofFigures">
    <w:name w:val="table of figures"/>
    <w:basedOn w:val="Normal"/>
    <w:next w:val="Normal"/>
    <w:semiHidden/>
    <w:rsid w:val="0098213E"/>
  </w:style>
  <w:style w:type="paragraph" w:styleId="TOC1">
    <w:name w:val="toc 1"/>
    <w:next w:val="BodyTextGrey"/>
    <w:link w:val="TOC1Char"/>
    <w:uiPriority w:val="39"/>
    <w:rsid w:val="001307E4"/>
    <w:pPr>
      <w:tabs>
        <w:tab w:val="left" w:pos="454"/>
        <w:tab w:val="left" w:pos="9526"/>
      </w:tabs>
    </w:pPr>
    <w:rPr>
      <w:rFonts w:ascii="Arial" w:hAnsi="Arial" w:cs="Arial"/>
      <w:iCs/>
      <w:color w:val="455560"/>
    </w:rPr>
  </w:style>
  <w:style w:type="paragraph" w:styleId="TOC2">
    <w:name w:val="toc 2"/>
    <w:basedOn w:val="Normal"/>
    <w:next w:val="Normal"/>
    <w:uiPriority w:val="39"/>
    <w:rsid w:val="0098213E"/>
    <w:pPr>
      <w:tabs>
        <w:tab w:val="right" w:pos="8648"/>
      </w:tabs>
      <w:spacing w:before="240"/>
    </w:pPr>
    <w:rPr>
      <w:rFonts w:ascii="Times New Roman" w:hAnsi="Times New Roman"/>
    </w:rPr>
  </w:style>
  <w:style w:type="paragraph" w:styleId="TOC3">
    <w:name w:val="toc 3"/>
    <w:basedOn w:val="Normal"/>
    <w:next w:val="Normal"/>
    <w:uiPriority w:val="39"/>
    <w:rsid w:val="0098213E"/>
    <w:pPr>
      <w:tabs>
        <w:tab w:val="right" w:pos="8648"/>
      </w:tabs>
      <w:ind w:left="200"/>
    </w:pPr>
    <w:rPr>
      <w:rFonts w:ascii="Times New Roman" w:hAnsi="Times New Roman"/>
      <w:b/>
    </w:rPr>
  </w:style>
  <w:style w:type="paragraph" w:styleId="TOC4">
    <w:name w:val="toc 4"/>
    <w:basedOn w:val="Normal"/>
    <w:next w:val="Normal"/>
    <w:uiPriority w:val="3"/>
    <w:rsid w:val="0098213E"/>
    <w:pPr>
      <w:tabs>
        <w:tab w:val="right" w:pos="8648"/>
      </w:tabs>
      <w:ind w:left="400"/>
    </w:pPr>
    <w:rPr>
      <w:rFonts w:ascii="Times New Roman" w:hAnsi="Times New Roman"/>
      <w:b/>
    </w:rPr>
  </w:style>
  <w:style w:type="paragraph" w:styleId="TOC5">
    <w:name w:val="toc 5"/>
    <w:basedOn w:val="Normal"/>
    <w:next w:val="Normal"/>
    <w:semiHidden/>
    <w:rsid w:val="0098213E"/>
    <w:pPr>
      <w:tabs>
        <w:tab w:val="right" w:pos="8648"/>
      </w:tabs>
      <w:ind w:left="600"/>
    </w:pPr>
    <w:rPr>
      <w:rFonts w:ascii="Times New Roman" w:hAnsi="Times New Roman"/>
      <w:b/>
    </w:rPr>
  </w:style>
  <w:style w:type="paragraph" w:styleId="TOC6">
    <w:name w:val="toc 6"/>
    <w:basedOn w:val="Normal"/>
    <w:next w:val="Normal"/>
    <w:semiHidden/>
    <w:rsid w:val="0098213E"/>
    <w:pPr>
      <w:tabs>
        <w:tab w:val="right" w:pos="8648"/>
      </w:tabs>
      <w:ind w:left="800"/>
    </w:pPr>
    <w:rPr>
      <w:rFonts w:ascii="Times New Roman" w:hAnsi="Times New Roman"/>
      <w:b/>
    </w:rPr>
  </w:style>
  <w:style w:type="paragraph" w:styleId="TOC7">
    <w:name w:val="toc 7"/>
    <w:basedOn w:val="Normal"/>
    <w:next w:val="Normal"/>
    <w:semiHidden/>
    <w:rsid w:val="0098213E"/>
    <w:pPr>
      <w:tabs>
        <w:tab w:val="right" w:pos="8648"/>
      </w:tabs>
      <w:ind w:left="1000"/>
    </w:pPr>
    <w:rPr>
      <w:rFonts w:ascii="Times New Roman" w:hAnsi="Times New Roman"/>
      <w:b/>
    </w:rPr>
  </w:style>
  <w:style w:type="paragraph" w:styleId="TOC8">
    <w:name w:val="toc 8"/>
    <w:basedOn w:val="Normal"/>
    <w:next w:val="Normal"/>
    <w:semiHidden/>
    <w:rsid w:val="0098213E"/>
    <w:pPr>
      <w:tabs>
        <w:tab w:val="right" w:pos="8648"/>
      </w:tabs>
      <w:ind w:left="1200"/>
    </w:pPr>
    <w:rPr>
      <w:rFonts w:ascii="Times New Roman" w:hAnsi="Times New Roman"/>
      <w:b/>
    </w:rPr>
  </w:style>
  <w:style w:type="paragraph" w:styleId="TOC9">
    <w:name w:val="toc 9"/>
    <w:basedOn w:val="Normal"/>
    <w:next w:val="Normal"/>
    <w:semiHidden/>
    <w:rsid w:val="0098213E"/>
    <w:pPr>
      <w:tabs>
        <w:tab w:val="right" w:pos="8648"/>
      </w:tabs>
      <w:ind w:left="1400"/>
    </w:pPr>
    <w:rPr>
      <w:rFonts w:ascii="Times New Roman" w:hAnsi="Times New Roman"/>
      <w:b/>
    </w:rPr>
  </w:style>
  <w:style w:type="paragraph" w:styleId="NoSpacing">
    <w:name w:val="No Spacing"/>
    <w:uiPriority w:val="3"/>
    <w:rsid w:val="0098213E"/>
    <w:pPr>
      <w:spacing w:after="0"/>
      <w:jc w:val="both"/>
    </w:pPr>
    <w:rPr>
      <w:rFonts w:ascii="Arial" w:hAnsi="Arial" w:cs="Arial"/>
      <w:iCs/>
      <w:color w:val="4B4B4B"/>
    </w:rPr>
  </w:style>
  <w:style w:type="table" w:styleId="MediumGrid3-Accent2">
    <w:name w:val="Medium Grid 3 Accent 2"/>
    <w:basedOn w:val="TableNormal"/>
    <w:uiPriority w:val="69"/>
    <w:rsid w:val="0098213E"/>
    <w:pPr>
      <w:spacing w:after="0"/>
    </w:pPr>
    <w:tblPr>
      <w:tblStyleRowBandSize w:val="1"/>
      <w:tblStyleColBandSize w:val="1"/>
      <w:tblBorders>
        <w:top w:val="single" w:sz="8" w:space="0" w:color="44546A" w:themeColor="background1"/>
        <w:left w:val="single" w:sz="8" w:space="0" w:color="44546A" w:themeColor="background1"/>
        <w:bottom w:val="single" w:sz="8" w:space="0" w:color="44546A" w:themeColor="background1"/>
        <w:right w:val="single" w:sz="8" w:space="0" w:color="44546A" w:themeColor="background1"/>
        <w:insideH w:val="single" w:sz="6" w:space="0" w:color="44546A" w:themeColor="background1"/>
        <w:insideV w:val="single" w:sz="6" w:space="0" w:color="44546A" w:themeColor="background1"/>
      </w:tblBorders>
    </w:tblPr>
    <w:tcPr>
      <w:shd w:val="clear" w:color="auto" w:fill="DAEFCF" w:themeFill="accent2" w:themeFillTint="3F"/>
    </w:tcPr>
    <w:tblStylePr w:type="firstRow">
      <w:rPr>
        <w:b/>
        <w:bCs/>
        <w:i w:val="0"/>
        <w:iCs w:val="0"/>
        <w:color w:val="44546A" w:themeColor="background1"/>
      </w:rPr>
      <w:tblPr/>
      <w:tcPr>
        <w:tcBorders>
          <w:top w:val="single" w:sz="8" w:space="0" w:color="44546A" w:themeColor="background1"/>
          <w:left w:val="single" w:sz="8" w:space="0" w:color="44546A" w:themeColor="background1"/>
          <w:bottom w:val="single" w:sz="24" w:space="0" w:color="44546A" w:themeColor="background1"/>
          <w:right w:val="single" w:sz="8" w:space="0" w:color="44546A" w:themeColor="background1"/>
          <w:insideH w:val="nil"/>
          <w:insideV w:val="single" w:sz="8" w:space="0" w:color="44546A" w:themeColor="background1"/>
        </w:tcBorders>
        <w:shd w:val="clear" w:color="auto" w:fill="6EC040" w:themeFill="accent2"/>
      </w:tcPr>
    </w:tblStylePr>
    <w:tblStylePr w:type="lastRow">
      <w:rPr>
        <w:b/>
        <w:bCs/>
        <w:i w:val="0"/>
        <w:iCs w:val="0"/>
        <w:color w:val="44546A" w:themeColor="background1"/>
      </w:rPr>
      <w:tblPr/>
      <w:tcPr>
        <w:tcBorders>
          <w:top w:val="single" w:sz="24" w:space="0" w:color="44546A" w:themeColor="background1"/>
          <w:left w:val="single" w:sz="8" w:space="0" w:color="44546A" w:themeColor="background1"/>
          <w:bottom w:val="single" w:sz="8" w:space="0" w:color="44546A" w:themeColor="background1"/>
          <w:right w:val="single" w:sz="8" w:space="0" w:color="44546A" w:themeColor="background1"/>
          <w:insideH w:val="nil"/>
          <w:insideV w:val="single" w:sz="8" w:space="0" w:color="44546A" w:themeColor="background1"/>
        </w:tcBorders>
        <w:shd w:val="clear" w:color="auto" w:fill="6EC040" w:themeFill="accent2"/>
      </w:tcPr>
    </w:tblStylePr>
    <w:tblStylePr w:type="firstCol">
      <w:rPr>
        <w:b/>
        <w:bCs/>
        <w:i w:val="0"/>
        <w:iCs w:val="0"/>
        <w:color w:val="44546A" w:themeColor="background1"/>
      </w:rPr>
      <w:tblPr/>
      <w:tcPr>
        <w:tcBorders>
          <w:left w:val="single" w:sz="8" w:space="0" w:color="44546A" w:themeColor="background1"/>
          <w:right w:val="single" w:sz="24" w:space="0" w:color="44546A" w:themeColor="background1"/>
          <w:insideH w:val="nil"/>
          <w:insideV w:val="nil"/>
        </w:tcBorders>
        <w:shd w:val="clear" w:color="auto" w:fill="6EC040" w:themeFill="accent2"/>
      </w:tcPr>
    </w:tblStylePr>
    <w:tblStylePr w:type="lastCol">
      <w:rPr>
        <w:b/>
        <w:bCs/>
        <w:i w:val="0"/>
        <w:iCs w:val="0"/>
        <w:color w:val="44546A" w:themeColor="background1"/>
      </w:rPr>
      <w:tblPr/>
      <w:tcPr>
        <w:tcBorders>
          <w:top w:val="nil"/>
          <w:left w:val="single" w:sz="24" w:space="0" w:color="44546A" w:themeColor="background1"/>
          <w:bottom w:val="nil"/>
          <w:right w:val="nil"/>
          <w:insideH w:val="nil"/>
          <w:insideV w:val="nil"/>
        </w:tcBorders>
        <w:shd w:val="clear" w:color="auto" w:fill="6EC040" w:themeFill="accent2"/>
      </w:tcPr>
    </w:tblStylePr>
    <w:tblStylePr w:type="band1Vert">
      <w:tblPr/>
      <w:tcPr>
        <w:tcBorders>
          <w:top w:val="single" w:sz="8" w:space="0" w:color="44546A" w:themeColor="background1"/>
          <w:left w:val="single" w:sz="8" w:space="0" w:color="44546A" w:themeColor="background1"/>
          <w:bottom w:val="single" w:sz="8" w:space="0" w:color="44546A" w:themeColor="background1"/>
          <w:right w:val="single" w:sz="8" w:space="0" w:color="44546A" w:themeColor="background1"/>
          <w:insideH w:val="nil"/>
          <w:insideV w:val="nil"/>
        </w:tcBorders>
        <w:shd w:val="clear" w:color="auto" w:fill="B6DF9F" w:themeFill="accent2" w:themeFillTint="7F"/>
      </w:tcPr>
    </w:tblStylePr>
    <w:tblStylePr w:type="band1Horz">
      <w:tblPr/>
      <w:tcPr>
        <w:tcBorders>
          <w:top w:val="single" w:sz="8" w:space="0" w:color="44546A" w:themeColor="background1"/>
          <w:left w:val="single" w:sz="8" w:space="0" w:color="44546A" w:themeColor="background1"/>
          <w:bottom w:val="single" w:sz="8" w:space="0" w:color="44546A" w:themeColor="background1"/>
          <w:right w:val="single" w:sz="8" w:space="0" w:color="44546A" w:themeColor="background1"/>
          <w:insideH w:val="single" w:sz="8" w:space="0" w:color="44546A" w:themeColor="background1"/>
          <w:insideV w:val="single" w:sz="8" w:space="0" w:color="44546A" w:themeColor="background1"/>
        </w:tcBorders>
        <w:shd w:val="clear" w:color="auto" w:fill="B6DF9F" w:themeFill="accent2" w:themeFillTint="7F"/>
      </w:tcPr>
    </w:tblStylePr>
  </w:style>
  <w:style w:type="table" w:styleId="MediumShading1-Accent4">
    <w:name w:val="Medium Shading 1 Accent 4"/>
    <w:basedOn w:val="TableNormal"/>
    <w:uiPriority w:val="63"/>
    <w:rsid w:val="0098213E"/>
    <w:pPr>
      <w:spacing w:after="0"/>
    </w:pPr>
    <w:tblPr>
      <w:tblStyleRowBandSize w:val="1"/>
      <w:tblStyleColBandSize w:val="1"/>
      <w:tblBorders>
        <w:top w:val="single" w:sz="8" w:space="0" w:color="FE378F" w:themeColor="accent4" w:themeTint="BF"/>
        <w:left w:val="single" w:sz="8" w:space="0" w:color="FE378F" w:themeColor="accent4" w:themeTint="BF"/>
        <w:bottom w:val="single" w:sz="8" w:space="0" w:color="FE378F" w:themeColor="accent4" w:themeTint="BF"/>
        <w:right w:val="single" w:sz="8" w:space="0" w:color="FE378F" w:themeColor="accent4" w:themeTint="BF"/>
        <w:insideH w:val="single" w:sz="8" w:space="0" w:color="FE378F" w:themeColor="accent4" w:themeTint="BF"/>
      </w:tblBorders>
    </w:tblPr>
    <w:tblStylePr w:type="firstRow">
      <w:pPr>
        <w:spacing w:before="0" w:after="0" w:line="240" w:lineRule="auto"/>
      </w:pPr>
      <w:rPr>
        <w:b/>
        <w:bCs/>
        <w:color w:val="44546A" w:themeColor="background1"/>
      </w:rPr>
      <w:tblPr/>
      <w:tcPr>
        <w:tcBorders>
          <w:top w:val="single" w:sz="8" w:space="0" w:color="FE378F" w:themeColor="accent4" w:themeTint="BF"/>
          <w:left w:val="single" w:sz="8" w:space="0" w:color="FE378F" w:themeColor="accent4" w:themeTint="BF"/>
          <w:bottom w:val="single" w:sz="8" w:space="0" w:color="FE378F" w:themeColor="accent4" w:themeTint="BF"/>
          <w:right w:val="single" w:sz="8" w:space="0" w:color="FE378F" w:themeColor="accent4" w:themeTint="BF"/>
          <w:insideH w:val="nil"/>
          <w:insideV w:val="nil"/>
        </w:tcBorders>
        <w:shd w:val="clear" w:color="auto" w:fill="F2016C" w:themeFill="accent4"/>
      </w:tcPr>
    </w:tblStylePr>
    <w:tblStylePr w:type="lastRow">
      <w:pPr>
        <w:spacing w:before="0" w:after="0" w:line="240" w:lineRule="auto"/>
      </w:pPr>
      <w:rPr>
        <w:b/>
        <w:bCs/>
      </w:rPr>
      <w:tblPr/>
      <w:tcPr>
        <w:tcBorders>
          <w:top w:val="double" w:sz="6" w:space="0" w:color="FE378F" w:themeColor="accent4" w:themeTint="BF"/>
          <w:left w:val="single" w:sz="8" w:space="0" w:color="FE378F" w:themeColor="accent4" w:themeTint="BF"/>
          <w:bottom w:val="single" w:sz="8" w:space="0" w:color="FE378F" w:themeColor="accent4" w:themeTint="BF"/>
          <w:right w:val="single" w:sz="8" w:space="0" w:color="FE378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BDDA" w:themeFill="accent4" w:themeFillTint="3F"/>
      </w:tcPr>
    </w:tblStylePr>
    <w:tblStylePr w:type="band1Horz">
      <w:tblPr/>
      <w:tcPr>
        <w:tcBorders>
          <w:insideH w:val="nil"/>
          <w:insideV w:val="nil"/>
        </w:tcBorders>
        <w:shd w:val="clear" w:color="auto" w:fill="FEBDDA"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8213E"/>
    <w:pPr>
      <w:spacing w:after="0"/>
    </w:pPr>
    <w:tblPr>
      <w:tblStyleRowBandSize w:val="1"/>
      <w:tblStyleColBandSize w:val="1"/>
      <w:tblBorders>
        <w:top w:val="single" w:sz="8" w:space="0" w:color="A3A6A7" w:themeColor="accent6" w:themeTint="BF"/>
        <w:left w:val="single" w:sz="8" w:space="0" w:color="A3A6A7" w:themeColor="accent6" w:themeTint="BF"/>
        <w:bottom w:val="single" w:sz="8" w:space="0" w:color="A3A6A7" w:themeColor="accent6" w:themeTint="BF"/>
        <w:right w:val="single" w:sz="8" w:space="0" w:color="A3A6A7" w:themeColor="accent6" w:themeTint="BF"/>
        <w:insideH w:val="single" w:sz="8" w:space="0" w:color="A3A6A7" w:themeColor="accent6" w:themeTint="BF"/>
      </w:tblBorders>
    </w:tblPr>
    <w:tblStylePr w:type="firstRow">
      <w:pPr>
        <w:spacing w:before="0" w:after="0" w:line="240" w:lineRule="auto"/>
      </w:pPr>
      <w:rPr>
        <w:rFonts w:ascii="Arial" w:hAnsi="Arial"/>
        <w:b/>
        <w:bCs/>
        <w:i w:val="0"/>
        <w:color w:val="44546A" w:themeColor="background1"/>
      </w:rPr>
      <w:tblPr/>
      <w:tcPr>
        <w:tcBorders>
          <w:top w:val="single" w:sz="8" w:space="0" w:color="A3A6A7" w:themeColor="accent6" w:themeTint="BF"/>
          <w:left w:val="single" w:sz="8" w:space="0" w:color="A3A6A7" w:themeColor="accent6" w:themeTint="BF"/>
          <w:bottom w:val="single" w:sz="8" w:space="0" w:color="A3A6A7" w:themeColor="accent6" w:themeTint="BF"/>
          <w:right w:val="single" w:sz="8" w:space="0" w:color="A3A6A7" w:themeColor="accent6" w:themeTint="BF"/>
          <w:insideH w:val="nil"/>
          <w:insideV w:val="nil"/>
        </w:tcBorders>
        <w:shd w:val="clear" w:color="auto" w:fill="85898A" w:themeFill="accent6"/>
      </w:tcPr>
    </w:tblStylePr>
    <w:tblStylePr w:type="lastRow">
      <w:pPr>
        <w:spacing w:before="0" w:after="0" w:line="240" w:lineRule="auto"/>
      </w:pPr>
      <w:rPr>
        <w:b/>
        <w:bCs/>
      </w:rPr>
      <w:tblPr/>
      <w:tcPr>
        <w:tcBorders>
          <w:top w:val="double" w:sz="6" w:space="0" w:color="A3A6A7" w:themeColor="accent6" w:themeTint="BF"/>
          <w:left w:val="single" w:sz="8" w:space="0" w:color="A3A6A7" w:themeColor="accent6" w:themeTint="BF"/>
          <w:bottom w:val="single" w:sz="8" w:space="0" w:color="A3A6A7" w:themeColor="accent6" w:themeTint="BF"/>
          <w:right w:val="single" w:sz="8" w:space="0" w:color="A3A6A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0E1E2" w:themeFill="accent6" w:themeFillTint="3F"/>
      </w:tcPr>
    </w:tblStylePr>
    <w:tblStylePr w:type="band1Horz">
      <w:tblPr/>
      <w:tcPr>
        <w:tcBorders>
          <w:insideH w:val="nil"/>
          <w:insideV w:val="nil"/>
        </w:tcBorders>
        <w:shd w:val="clear" w:color="auto" w:fill="E0E1E2"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8213E"/>
    <w:pPr>
      <w:spacing w:after="0"/>
    </w:pPr>
    <w:tblPr>
      <w:tblStyleRowBandSize w:val="1"/>
      <w:tblStyleColBandSize w:val="1"/>
      <w:tblBorders>
        <w:top w:val="single" w:sz="8" w:space="0" w:color="698192" w:themeColor="accent5" w:themeTint="BF"/>
        <w:left w:val="single" w:sz="8" w:space="0" w:color="698192" w:themeColor="accent5" w:themeTint="BF"/>
        <w:bottom w:val="single" w:sz="8" w:space="0" w:color="698192" w:themeColor="accent5" w:themeTint="BF"/>
        <w:right w:val="single" w:sz="8" w:space="0" w:color="698192" w:themeColor="accent5" w:themeTint="BF"/>
        <w:insideH w:val="single" w:sz="8" w:space="0" w:color="698192" w:themeColor="accent5" w:themeTint="BF"/>
      </w:tblBorders>
    </w:tblPr>
    <w:tblStylePr w:type="firstRow">
      <w:pPr>
        <w:spacing w:before="0" w:after="0" w:line="240" w:lineRule="auto"/>
      </w:pPr>
      <w:rPr>
        <w:b/>
        <w:bCs/>
        <w:color w:val="44546A" w:themeColor="background1"/>
      </w:rPr>
      <w:tblPr/>
      <w:tcPr>
        <w:tcBorders>
          <w:top w:val="single" w:sz="8" w:space="0" w:color="698192" w:themeColor="accent5" w:themeTint="BF"/>
          <w:left w:val="single" w:sz="8" w:space="0" w:color="698192" w:themeColor="accent5" w:themeTint="BF"/>
          <w:bottom w:val="single" w:sz="8" w:space="0" w:color="698192" w:themeColor="accent5" w:themeTint="BF"/>
          <w:right w:val="single" w:sz="8" w:space="0" w:color="698192" w:themeColor="accent5" w:themeTint="BF"/>
          <w:insideH w:val="nil"/>
          <w:insideV w:val="nil"/>
        </w:tcBorders>
        <w:shd w:val="clear" w:color="auto" w:fill="455560" w:themeFill="accent5"/>
      </w:tcPr>
    </w:tblStylePr>
    <w:tblStylePr w:type="lastRow">
      <w:pPr>
        <w:spacing w:before="0" w:after="0" w:line="240" w:lineRule="auto"/>
      </w:pPr>
      <w:rPr>
        <w:b/>
        <w:bCs/>
      </w:rPr>
      <w:tblPr/>
      <w:tcPr>
        <w:tcBorders>
          <w:top w:val="double" w:sz="6" w:space="0" w:color="698192" w:themeColor="accent5" w:themeTint="BF"/>
          <w:left w:val="single" w:sz="8" w:space="0" w:color="698192" w:themeColor="accent5" w:themeTint="BF"/>
          <w:bottom w:val="single" w:sz="8" w:space="0" w:color="698192" w:themeColor="accent5" w:themeTint="BF"/>
          <w:right w:val="single" w:sz="8" w:space="0" w:color="698192"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D5DB" w:themeFill="accent5" w:themeFillTint="3F"/>
      </w:tcPr>
    </w:tblStylePr>
    <w:tblStylePr w:type="band1Horz">
      <w:tblPr/>
      <w:tcPr>
        <w:tcBorders>
          <w:insideH w:val="nil"/>
          <w:insideV w:val="nil"/>
        </w:tcBorders>
        <w:shd w:val="clear" w:color="auto" w:fill="CDD5DB" w:themeFill="accent5"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98213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44546A" w:themeColor="background1"/>
      </w:rPr>
      <w:tblPr/>
      <w:tcPr>
        <w:tcBorders>
          <w:top w:val="single" w:sz="18" w:space="0" w:color="auto"/>
          <w:left w:val="nil"/>
          <w:bottom w:val="single" w:sz="18" w:space="0" w:color="auto"/>
          <w:right w:val="nil"/>
          <w:insideH w:val="nil"/>
          <w:insideV w:val="nil"/>
        </w:tcBorders>
        <w:shd w:val="clear" w:color="auto" w:fill="85898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44546A" w:themeFill="background1"/>
      </w:tcPr>
    </w:tblStylePr>
    <w:tblStylePr w:type="firstCol">
      <w:rPr>
        <w:b/>
        <w:bCs/>
        <w:color w:val="44546A" w:themeColor="background1"/>
      </w:rPr>
      <w:tblPr/>
      <w:tcPr>
        <w:tcBorders>
          <w:top w:val="nil"/>
          <w:left w:val="nil"/>
          <w:bottom w:val="single" w:sz="18" w:space="0" w:color="auto"/>
          <w:right w:val="nil"/>
          <w:insideH w:val="nil"/>
          <w:insideV w:val="nil"/>
        </w:tcBorders>
        <w:shd w:val="clear" w:color="auto" w:fill="85898A" w:themeFill="accent6"/>
      </w:tcPr>
    </w:tblStylePr>
    <w:tblStylePr w:type="lastCol">
      <w:rPr>
        <w:b/>
        <w:bCs/>
        <w:color w:val="44546A" w:themeColor="background1"/>
      </w:rPr>
      <w:tblPr/>
      <w:tcPr>
        <w:tcBorders>
          <w:left w:val="nil"/>
          <w:right w:val="nil"/>
          <w:insideH w:val="nil"/>
          <w:insideV w:val="nil"/>
        </w:tcBorders>
        <w:shd w:val="clear" w:color="auto" w:fill="85898A" w:themeFill="accent6"/>
      </w:tcPr>
    </w:tblStylePr>
    <w:tblStylePr w:type="band1Vert">
      <w:tblPr/>
      <w:tcPr>
        <w:tcBorders>
          <w:left w:val="nil"/>
          <w:right w:val="nil"/>
          <w:insideH w:val="nil"/>
          <w:insideV w:val="nil"/>
        </w:tcBorders>
        <w:shd w:val="clear" w:color="auto" w:fill="394759" w:themeFill="background1" w:themeFillShade="D8"/>
      </w:tcPr>
    </w:tblStylePr>
    <w:tblStylePr w:type="band1Horz">
      <w:tblPr/>
      <w:tcPr>
        <w:shd w:val="clear" w:color="auto" w:fill="394759"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44546A" w:themeColor="background1"/>
      </w:rPr>
      <w:tblPr/>
      <w:tcPr>
        <w:tcBorders>
          <w:top w:val="single" w:sz="18" w:space="0" w:color="auto"/>
          <w:left w:val="nil"/>
          <w:bottom w:val="single" w:sz="18" w:space="0" w:color="auto"/>
          <w:right w:val="nil"/>
          <w:insideH w:val="nil"/>
          <w:insideV w:val="nil"/>
        </w:tcBorders>
      </w:tcPr>
    </w:tblStylePr>
  </w:style>
  <w:style w:type="table" w:styleId="DarkList-Accent3">
    <w:name w:val="Dark List Accent 3"/>
    <w:basedOn w:val="TableNormal"/>
    <w:uiPriority w:val="70"/>
    <w:rsid w:val="0098213E"/>
    <w:pPr>
      <w:spacing w:after="0"/>
    </w:pPr>
    <w:rPr>
      <w:color w:val="44546A" w:themeColor="background1"/>
    </w:rPr>
    <w:tblPr>
      <w:tblStyleRowBandSize w:val="1"/>
      <w:tblStyleColBandSize w:val="1"/>
    </w:tblPr>
    <w:tcPr>
      <w:shd w:val="clear" w:color="auto" w:fill="FDC82F" w:themeFill="accent3"/>
    </w:tcPr>
    <w:tblStylePr w:type="firstRow">
      <w:rPr>
        <w:b/>
        <w:bCs/>
      </w:rPr>
      <w:tblPr/>
      <w:tcPr>
        <w:tcBorders>
          <w:top w:val="nil"/>
          <w:left w:val="nil"/>
          <w:bottom w:val="single" w:sz="18" w:space="0" w:color="44546A" w:themeColor="background1"/>
          <w:right w:val="nil"/>
          <w:insideH w:val="nil"/>
          <w:insideV w:val="nil"/>
        </w:tcBorders>
        <w:shd w:val="clear" w:color="auto" w:fill="FFFFFF" w:themeFill="text1"/>
      </w:tcPr>
    </w:tblStylePr>
    <w:tblStylePr w:type="lastRow">
      <w:tblPr/>
      <w:tcPr>
        <w:tcBorders>
          <w:top w:val="single" w:sz="18" w:space="0" w:color="44546A" w:themeColor="background1"/>
          <w:left w:val="nil"/>
          <w:bottom w:val="nil"/>
          <w:right w:val="nil"/>
          <w:insideH w:val="nil"/>
          <w:insideV w:val="nil"/>
        </w:tcBorders>
        <w:shd w:val="clear" w:color="auto" w:fill="936D01" w:themeFill="accent3" w:themeFillShade="7F"/>
      </w:tcPr>
    </w:tblStylePr>
    <w:tblStylePr w:type="firstCol">
      <w:tblPr/>
      <w:tcPr>
        <w:tcBorders>
          <w:top w:val="nil"/>
          <w:left w:val="nil"/>
          <w:bottom w:val="nil"/>
          <w:right w:val="single" w:sz="18" w:space="0" w:color="44546A" w:themeColor="background1"/>
          <w:insideH w:val="nil"/>
          <w:insideV w:val="nil"/>
        </w:tcBorders>
        <w:shd w:val="clear" w:color="auto" w:fill="DEA502" w:themeFill="accent3" w:themeFillShade="BF"/>
      </w:tcPr>
    </w:tblStylePr>
    <w:tblStylePr w:type="lastCol">
      <w:tblPr/>
      <w:tcPr>
        <w:tcBorders>
          <w:top w:val="nil"/>
          <w:left w:val="single" w:sz="18" w:space="0" w:color="44546A" w:themeColor="background1"/>
          <w:bottom w:val="nil"/>
          <w:right w:val="nil"/>
          <w:insideH w:val="nil"/>
          <w:insideV w:val="nil"/>
        </w:tcBorders>
        <w:shd w:val="clear" w:color="auto" w:fill="DEA502" w:themeFill="accent3" w:themeFillShade="BF"/>
      </w:tcPr>
    </w:tblStylePr>
    <w:tblStylePr w:type="band1Vert">
      <w:tblPr/>
      <w:tcPr>
        <w:tcBorders>
          <w:top w:val="nil"/>
          <w:left w:val="nil"/>
          <w:bottom w:val="nil"/>
          <w:right w:val="nil"/>
          <w:insideH w:val="nil"/>
          <w:insideV w:val="nil"/>
        </w:tcBorders>
        <w:shd w:val="clear" w:color="auto" w:fill="DEA502" w:themeFill="accent3" w:themeFillShade="BF"/>
      </w:tcPr>
    </w:tblStylePr>
    <w:tblStylePr w:type="band1Horz">
      <w:tblPr/>
      <w:tcPr>
        <w:tcBorders>
          <w:top w:val="nil"/>
          <w:left w:val="nil"/>
          <w:bottom w:val="nil"/>
          <w:right w:val="nil"/>
          <w:insideH w:val="nil"/>
          <w:insideV w:val="nil"/>
        </w:tcBorders>
        <w:shd w:val="clear" w:color="auto" w:fill="DEA502" w:themeFill="accent3" w:themeFillShade="BF"/>
      </w:tcPr>
    </w:tblStylePr>
  </w:style>
  <w:style w:type="table" w:customStyle="1" w:styleId="LightList-Accent11">
    <w:name w:val="Light List - Accent 11"/>
    <w:basedOn w:val="TableNormal"/>
    <w:uiPriority w:val="61"/>
    <w:rsid w:val="0098213E"/>
    <w:pPr>
      <w:spacing w:after="0"/>
    </w:pPr>
    <w:tblPr>
      <w:tblStyleRowBandSize w:val="1"/>
      <w:tblStyleColBandSize w:val="1"/>
      <w:tblBorders>
        <w:top w:val="single" w:sz="8" w:space="0" w:color="3FA6CC" w:themeColor="accent1"/>
        <w:left w:val="single" w:sz="8" w:space="0" w:color="3FA6CC" w:themeColor="accent1"/>
        <w:bottom w:val="single" w:sz="8" w:space="0" w:color="3FA6CC" w:themeColor="accent1"/>
        <w:right w:val="single" w:sz="8" w:space="0" w:color="3FA6CC" w:themeColor="accent1"/>
      </w:tblBorders>
    </w:tblPr>
    <w:tblStylePr w:type="firstRow">
      <w:pPr>
        <w:spacing w:before="0" w:after="0" w:line="240" w:lineRule="auto"/>
      </w:pPr>
      <w:rPr>
        <w:b/>
        <w:bCs/>
        <w:color w:val="44546A" w:themeColor="background1"/>
      </w:rPr>
      <w:tblPr/>
      <w:tcPr>
        <w:shd w:val="clear" w:color="auto" w:fill="3FA6CC" w:themeFill="accent1"/>
      </w:tcPr>
    </w:tblStylePr>
    <w:tblStylePr w:type="lastRow">
      <w:pPr>
        <w:spacing w:before="0" w:after="0" w:line="240" w:lineRule="auto"/>
      </w:pPr>
      <w:rPr>
        <w:b/>
        <w:bCs/>
      </w:rPr>
      <w:tblPr/>
      <w:tcPr>
        <w:tcBorders>
          <w:top w:val="double" w:sz="6" w:space="0" w:color="3FA6CC" w:themeColor="accent1"/>
          <w:left w:val="single" w:sz="8" w:space="0" w:color="3FA6CC" w:themeColor="accent1"/>
          <w:bottom w:val="single" w:sz="8" w:space="0" w:color="3FA6CC" w:themeColor="accent1"/>
          <w:right w:val="single" w:sz="8" w:space="0" w:color="3FA6CC" w:themeColor="accent1"/>
        </w:tcBorders>
      </w:tcPr>
    </w:tblStylePr>
    <w:tblStylePr w:type="firstCol">
      <w:rPr>
        <w:b/>
        <w:bCs/>
      </w:rPr>
    </w:tblStylePr>
    <w:tblStylePr w:type="lastCol">
      <w:rPr>
        <w:b/>
        <w:bCs/>
      </w:rPr>
    </w:tblStylePr>
    <w:tblStylePr w:type="band1Vert">
      <w:tblPr/>
      <w:tcPr>
        <w:tcBorders>
          <w:top w:val="single" w:sz="8" w:space="0" w:color="3FA6CC" w:themeColor="accent1"/>
          <w:left w:val="single" w:sz="8" w:space="0" w:color="3FA6CC" w:themeColor="accent1"/>
          <w:bottom w:val="single" w:sz="8" w:space="0" w:color="3FA6CC" w:themeColor="accent1"/>
          <w:right w:val="single" w:sz="8" w:space="0" w:color="3FA6CC" w:themeColor="accent1"/>
        </w:tcBorders>
      </w:tcPr>
    </w:tblStylePr>
    <w:tblStylePr w:type="band1Horz">
      <w:tblPr/>
      <w:tcPr>
        <w:tcBorders>
          <w:top w:val="single" w:sz="8" w:space="0" w:color="3FA6CC" w:themeColor="accent1"/>
          <w:left w:val="single" w:sz="8" w:space="0" w:color="3FA6CC" w:themeColor="accent1"/>
          <w:bottom w:val="single" w:sz="8" w:space="0" w:color="3FA6CC" w:themeColor="accent1"/>
          <w:right w:val="single" w:sz="8" w:space="0" w:color="3FA6CC" w:themeColor="accent1"/>
        </w:tcBorders>
      </w:tcPr>
    </w:tblStylePr>
  </w:style>
  <w:style w:type="table" w:customStyle="1" w:styleId="LightList1">
    <w:name w:val="Light List1"/>
    <w:basedOn w:val="TableNormal"/>
    <w:uiPriority w:val="61"/>
    <w:rsid w:val="00A134C9"/>
    <w:pPr>
      <w:spacing w:after="0"/>
    </w:pPr>
    <w:tblPr>
      <w:tblStyleRowBandSize w:val="1"/>
      <w:tblStyleColBandSize w:val="1"/>
      <w:tblBorders>
        <w:top w:val="single" w:sz="8" w:space="0" w:color="FFFFFF" w:themeColor="text1"/>
        <w:left w:val="single" w:sz="8" w:space="0" w:color="FFFFFF" w:themeColor="text1"/>
        <w:bottom w:val="single" w:sz="8" w:space="0" w:color="FFFFFF" w:themeColor="text1"/>
        <w:right w:val="single" w:sz="8" w:space="0" w:color="FFFFFF" w:themeColor="text1"/>
      </w:tblBorders>
    </w:tblPr>
    <w:tblStylePr w:type="firstRow">
      <w:pPr>
        <w:spacing w:before="0" w:after="0" w:line="240" w:lineRule="auto"/>
      </w:pPr>
      <w:rPr>
        <w:b w:val="0"/>
        <w:bCs/>
        <w:color w:val="44546A" w:themeColor="background1"/>
      </w:rPr>
      <w:tblPr/>
      <w:tcPr>
        <w:shd w:val="clear" w:color="auto" w:fill="FFFFFF" w:themeFill="text2" w:themeFillTint="33"/>
      </w:tcPr>
    </w:tblStylePr>
    <w:tblStylePr w:type="lastRow">
      <w:pPr>
        <w:spacing w:before="0" w:after="0" w:line="240" w:lineRule="auto"/>
      </w:pPr>
      <w:rPr>
        <w:b/>
        <w:bCs/>
      </w:rPr>
      <w:tblPr/>
      <w:tcPr>
        <w:tcBorders>
          <w:top w:val="double" w:sz="6" w:space="0" w:color="FFFFFF" w:themeColor="text1"/>
          <w:left w:val="single" w:sz="8" w:space="0" w:color="FFFFFF" w:themeColor="text1"/>
          <w:bottom w:val="single" w:sz="8" w:space="0" w:color="FFFFFF" w:themeColor="text1"/>
          <w:right w:val="single" w:sz="8" w:space="0" w:color="FFFFFF" w:themeColor="text1"/>
        </w:tcBorders>
      </w:tcPr>
    </w:tblStylePr>
    <w:tblStylePr w:type="firstCol">
      <w:rPr>
        <w:b w:val="0"/>
        <w:bCs/>
        <w:i w:val="0"/>
      </w:rPr>
    </w:tblStylePr>
    <w:tblStylePr w:type="lastCol">
      <w:rPr>
        <w:b w:val="0"/>
        <w:bCs/>
        <w:i w:val="0"/>
      </w:rPr>
    </w:tblStylePr>
    <w:tblStylePr w:type="band1Vert">
      <w:tblPr/>
      <w:tcPr>
        <w:tcBorders>
          <w:top w:val="single" w:sz="8" w:space="0" w:color="FFFFFF" w:themeColor="text1"/>
          <w:left w:val="single" w:sz="8" w:space="0" w:color="FFFFFF" w:themeColor="text1"/>
          <w:bottom w:val="single" w:sz="8" w:space="0" w:color="FFFFFF" w:themeColor="text1"/>
          <w:right w:val="single" w:sz="8" w:space="0" w:color="FFFFFF" w:themeColor="text1"/>
        </w:tcBorders>
      </w:tcPr>
    </w:tblStylePr>
    <w:tblStylePr w:type="band1Horz">
      <w:rPr>
        <w:color w:val="FFFFFF" w:themeColor="text1"/>
      </w:rPr>
      <w:tblPr/>
      <w:tcPr>
        <w:tcBorders>
          <w:top w:val="single" w:sz="8" w:space="0" w:color="FFFFFF" w:themeColor="text1"/>
          <w:left w:val="single" w:sz="8" w:space="0" w:color="FFFFFF" w:themeColor="text1"/>
          <w:bottom w:val="single" w:sz="8" w:space="0" w:color="FFFFFF" w:themeColor="text1"/>
          <w:right w:val="single" w:sz="8" w:space="0" w:color="FFFFFF" w:themeColor="text1"/>
        </w:tcBorders>
      </w:tcPr>
    </w:tblStylePr>
    <w:tblStylePr w:type="band2Horz">
      <w:rPr>
        <w:color w:val="FFFFFF" w:themeColor="text1"/>
      </w:rPr>
    </w:tblStylePr>
  </w:style>
  <w:style w:type="table" w:customStyle="1" w:styleId="LightShading1">
    <w:name w:val="Light Shading1"/>
    <w:basedOn w:val="TableNormal"/>
    <w:uiPriority w:val="60"/>
    <w:rsid w:val="0098213E"/>
    <w:pPr>
      <w:spacing w:after="0"/>
    </w:pPr>
    <w:rPr>
      <w:color w:val="BFBFBF" w:themeColor="text1" w:themeShade="BF"/>
    </w:rPr>
    <w:tblPr>
      <w:tblStyleRowBandSize w:val="1"/>
      <w:tblStyleColBandSize w:val="1"/>
      <w:tblBorders>
        <w:top w:val="single" w:sz="8" w:space="0" w:color="FFFFFF" w:themeColor="text1"/>
        <w:bottom w:val="single" w:sz="8" w:space="0" w:color="FFFFFF" w:themeColor="text1"/>
      </w:tblBorders>
    </w:tblPr>
    <w:tblStylePr w:type="firstRow">
      <w:pPr>
        <w:spacing w:before="0" w:after="0" w:line="240" w:lineRule="auto"/>
      </w:pPr>
      <w:rPr>
        <w:b/>
        <w:bCs/>
      </w:rPr>
      <w:tblPr/>
      <w:tcPr>
        <w:tcBorders>
          <w:top w:val="single" w:sz="8" w:space="0" w:color="FFFFFF" w:themeColor="text1"/>
          <w:left w:val="nil"/>
          <w:bottom w:val="single" w:sz="8" w:space="0" w:color="FFFFFF" w:themeColor="text1"/>
          <w:right w:val="nil"/>
          <w:insideH w:val="nil"/>
          <w:insideV w:val="nil"/>
        </w:tcBorders>
      </w:tcPr>
    </w:tblStylePr>
    <w:tblStylePr w:type="lastRow">
      <w:pPr>
        <w:spacing w:before="0" w:after="0" w:line="240" w:lineRule="auto"/>
      </w:pPr>
      <w:rPr>
        <w:b/>
        <w:bCs/>
      </w:rPr>
      <w:tblPr/>
      <w:tcPr>
        <w:tcBorders>
          <w:top w:val="single" w:sz="8" w:space="0" w:color="FFFFFF" w:themeColor="text1"/>
          <w:left w:val="nil"/>
          <w:bottom w:val="single" w:sz="8" w:space="0" w:color="FFFFF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text1" w:themeFillTint="3F"/>
      </w:tcPr>
    </w:tblStylePr>
    <w:tblStylePr w:type="band1Horz">
      <w:tblPr/>
      <w:tcPr>
        <w:tcBorders>
          <w:left w:val="nil"/>
          <w:right w:val="nil"/>
          <w:insideH w:val="nil"/>
          <w:insideV w:val="nil"/>
        </w:tcBorders>
        <w:shd w:val="clear" w:color="auto" w:fill="FFFFFF" w:themeFill="text1" w:themeFillTint="3F"/>
      </w:tcPr>
    </w:tblStylePr>
  </w:style>
  <w:style w:type="table" w:customStyle="1" w:styleId="LightShading-Accent12">
    <w:name w:val="Light Shading - Accent 12"/>
    <w:basedOn w:val="TableNormal"/>
    <w:uiPriority w:val="60"/>
    <w:rsid w:val="0098213E"/>
    <w:pPr>
      <w:spacing w:after="0"/>
    </w:pPr>
    <w:rPr>
      <w:color w:val="2A7E9D" w:themeColor="accent1" w:themeShade="BF"/>
    </w:rPr>
    <w:tblPr>
      <w:tblStyleRowBandSize w:val="1"/>
      <w:tblStyleColBandSize w:val="1"/>
      <w:tblBorders>
        <w:top w:val="single" w:sz="8" w:space="0" w:color="3FA6CC" w:themeColor="accent1"/>
        <w:bottom w:val="single" w:sz="8" w:space="0" w:color="3FA6CC" w:themeColor="accent1"/>
      </w:tblBorders>
    </w:tblPr>
    <w:tblStylePr w:type="firstRow">
      <w:pPr>
        <w:spacing w:before="0" w:after="0" w:line="240" w:lineRule="auto"/>
      </w:pPr>
      <w:rPr>
        <w:b/>
        <w:bCs/>
      </w:rPr>
      <w:tblPr/>
      <w:tcPr>
        <w:tcBorders>
          <w:top w:val="single" w:sz="8" w:space="0" w:color="3FA6CC" w:themeColor="accent1"/>
          <w:left w:val="nil"/>
          <w:bottom w:val="single" w:sz="8" w:space="0" w:color="3FA6CC" w:themeColor="accent1"/>
          <w:right w:val="nil"/>
          <w:insideH w:val="nil"/>
          <w:insideV w:val="nil"/>
        </w:tcBorders>
      </w:tcPr>
    </w:tblStylePr>
    <w:tblStylePr w:type="lastRow">
      <w:pPr>
        <w:spacing w:before="0" w:after="0" w:line="240" w:lineRule="auto"/>
      </w:pPr>
      <w:rPr>
        <w:b/>
        <w:bCs/>
      </w:rPr>
      <w:tblPr/>
      <w:tcPr>
        <w:tcBorders>
          <w:top w:val="single" w:sz="8" w:space="0" w:color="3FA6CC" w:themeColor="accent1"/>
          <w:left w:val="nil"/>
          <w:bottom w:val="single" w:sz="8" w:space="0" w:color="3FA6C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8F2" w:themeFill="accent1" w:themeFillTint="3F"/>
      </w:tcPr>
    </w:tblStylePr>
    <w:tblStylePr w:type="band1Horz">
      <w:tblPr/>
      <w:tcPr>
        <w:tcBorders>
          <w:left w:val="nil"/>
          <w:right w:val="nil"/>
          <w:insideH w:val="nil"/>
          <w:insideV w:val="nil"/>
        </w:tcBorders>
        <w:shd w:val="clear" w:color="auto" w:fill="CFE8F2" w:themeFill="accent1" w:themeFillTint="3F"/>
      </w:tcPr>
    </w:tblStylePr>
  </w:style>
  <w:style w:type="table" w:styleId="LightShading-Accent2">
    <w:name w:val="Light Shading Accent 2"/>
    <w:basedOn w:val="TableNormal"/>
    <w:uiPriority w:val="60"/>
    <w:rsid w:val="0098213E"/>
    <w:pPr>
      <w:spacing w:after="0"/>
    </w:pPr>
    <w:rPr>
      <w:color w:val="52902F" w:themeColor="accent2" w:themeShade="BF"/>
    </w:rPr>
    <w:tblPr>
      <w:tblStyleRowBandSize w:val="1"/>
      <w:tblStyleColBandSize w:val="1"/>
      <w:tblBorders>
        <w:top w:val="single" w:sz="8" w:space="0" w:color="6EC040" w:themeColor="accent2"/>
        <w:bottom w:val="single" w:sz="8" w:space="0" w:color="6EC040" w:themeColor="accent2"/>
      </w:tblBorders>
    </w:tblPr>
    <w:tblStylePr w:type="firstRow">
      <w:pPr>
        <w:spacing w:before="0" w:after="0" w:line="240" w:lineRule="auto"/>
      </w:pPr>
      <w:rPr>
        <w:b/>
        <w:bCs/>
      </w:rPr>
      <w:tblPr/>
      <w:tcPr>
        <w:tcBorders>
          <w:top w:val="single" w:sz="8" w:space="0" w:color="6EC040" w:themeColor="accent2"/>
          <w:left w:val="nil"/>
          <w:bottom w:val="single" w:sz="8" w:space="0" w:color="6EC040" w:themeColor="accent2"/>
          <w:right w:val="nil"/>
          <w:insideH w:val="nil"/>
          <w:insideV w:val="nil"/>
        </w:tcBorders>
      </w:tcPr>
    </w:tblStylePr>
    <w:tblStylePr w:type="lastRow">
      <w:pPr>
        <w:spacing w:before="0" w:after="0" w:line="240" w:lineRule="auto"/>
      </w:pPr>
      <w:rPr>
        <w:b/>
        <w:bCs/>
      </w:rPr>
      <w:tblPr/>
      <w:tcPr>
        <w:tcBorders>
          <w:top w:val="single" w:sz="8" w:space="0" w:color="6EC040" w:themeColor="accent2"/>
          <w:left w:val="nil"/>
          <w:bottom w:val="single" w:sz="8" w:space="0" w:color="6EC04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FCF" w:themeFill="accent2" w:themeFillTint="3F"/>
      </w:tcPr>
    </w:tblStylePr>
    <w:tblStylePr w:type="band1Horz">
      <w:tblPr/>
      <w:tcPr>
        <w:tcBorders>
          <w:left w:val="nil"/>
          <w:right w:val="nil"/>
          <w:insideH w:val="nil"/>
          <w:insideV w:val="nil"/>
        </w:tcBorders>
        <w:shd w:val="clear" w:color="auto" w:fill="DAEFCF" w:themeFill="accent2" w:themeFillTint="3F"/>
      </w:tcPr>
    </w:tblStylePr>
  </w:style>
  <w:style w:type="table" w:styleId="LightShading-Accent3">
    <w:name w:val="Light Shading Accent 3"/>
    <w:basedOn w:val="TableNormal"/>
    <w:uiPriority w:val="60"/>
    <w:rsid w:val="0098213E"/>
    <w:pPr>
      <w:spacing w:after="0"/>
    </w:pPr>
    <w:rPr>
      <w:color w:val="DEA502" w:themeColor="accent3" w:themeShade="BF"/>
    </w:rPr>
    <w:tblPr>
      <w:tblStyleRowBandSize w:val="1"/>
      <w:tblStyleColBandSize w:val="1"/>
      <w:tblBorders>
        <w:top w:val="single" w:sz="8" w:space="0" w:color="FDC82F" w:themeColor="accent3"/>
        <w:bottom w:val="single" w:sz="8" w:space="0" w:color="FDC82F" w:themeColor="accent3"/>
      </w:tblBorders>
    </w:tblPr>
    <w:tblStylePr w:type="firstRow">
      <w:pPr>
        <w:spacing w:before="0" w:after="0" w:line="240" w:lineRule="auto"/>
      </w:pPr>
      <w:rPr>
        <w:b/>
        <w:bCs/>
      </w:rPr>
      <w:tblPr/>
      <w:tcPr>
        <w:tcBorders>
          <w:top w:val="single" w:sz="8" w:space="0" w:color="FDC82F" w:themeColor="accent3"/>
          <w:left w:val="nil"/>
          <w:bottom w:val="single" w:sz="8" w:space="0" w:color="FDC82F" w:themeColor="accent3"/>
          <w:right w:val="nil"/>
          <w:insideH w:val="nil"/>
          <w:insideV w:val="nil"/>
        </w:tcBorders>
      </w:tcPr>
    </w:tblStylePr>
    <w:tblStylePr w:type="lastRow">
      <w:pPr>
        <w:spacing w:before="0" w:after="0" w:line="240" w:lineRule="auto"/>
      </w:pPr>
      <w:rPr>
        <w:b/>
        <w:bCs/>
      </w:rPr>
      <w:tblPr/>
      <w:tcPr>
        <w:tcBorders>
          <w:top w:val="single" w:sz="8" w:space="0" w:color="FDC82F" w:themeColor="accent3"/>
          <w:left w:val="nil"/>
          <w:bottom w:val="single" w:sz="8" w:space="0" w:color="FDC82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1CB" w:themeFill="accent3" w:themeFillTint="3F"/>
      </w:tcPr>
    </w:tblStylePr>
    <w:tblStylePr w:type="band1Horz">
      <w:tblPr/>
      <w:tcPr>
        <w:tcBorders>
          <w:left w:val="nil"/>
          <w:right w:val="nil"/>
          <w:insideH w:val="nil"/>
          <w:insideV w:val="nil"/>
        </w:tcBorders>
        <w:shd w:val="clear" w:color="auto" w:fill="FEF1CB" w:themeFill="accent3" w:themeFillTint="3F"/>
      </w:tcPr>
    </w:tblStylePr>
  </w:style>
  <w:style w:type="table" w:styleId="LightList-Accent2">
    <w:name w:val="Light List Accent 2"/>
    <w:basedOn w:val="TableNormal"/>
    <w:uiPriority w:val="61"/>
    <w:rsid w:val="0098213E"/>
    <w:pPr>
      <w:spacing w:after="0"/>
    </w:pPr>
    <w:tblPr>
      <w:tblStyleRowBandSize w:val="1"/>
      <w:tblStyleColBandSize w:val="1"/>
      <w:tblBorders>
        <w:top w:val="single" w:sz="8" w:space="0" w:color="6EC040" w:themeColor="accent2"/>
        <w:left w:val="single" w:sz="8" w:space="0" w:color="6EC040" w:themeColor="accent2"/>
        <w:bottom w:val="single" w:sz="8" w:space="0" w:color="6EC040" w:themeColor="accent2"/>
        <w:right w:val="single" w:sz="8" w:space="0" w:color="6EC040" w:themeColor="accent2"/>
      </w:tblBorders>
    </w:tblPr>
    <w:tblStylePr w:type="firstRow">
      <w:pPr>
        <w:spacing w:before="0" w:after="0" w:line="240" w:lineRule="auto"/>
      </w:pPr>
      <w:rPr>
        <w:b/>
        <w:bCs/>
        <w:color w:val="44546A" w:themeColor="background1"/>
      </w:rPr>
      <w:tblPr/>
      <w:tcPr>
        <w:shd w:val="clear" w:color="auto" w:fill="6EC040" w:themeFill="accent2"/>
      </w:tcPr>
    </w:tblStylePr>
    <w:tblStylePr w:type="lastRow">
      <w:pPr>
        <w:spacing w:before="0" w:after="0" w:line="240" w:lineRule="auto"/>
      </w:pPr>
      <w:rPr>
        <w:b/>
        <w:bCs/>
      </w:rPr>
      <w:tblPr/>
      <w:tcPr>
        <w:tcBorders>
          <w:top w:val="double" w:sz="6" w:space="0" w:color="6EC040" w:themeColor="accent2"/>
          <w:left w:val="single" w:sz="8" w:space="0" w:color="6EC040" w:themeColor="accent2"/>
          <w:bottom w:val="single" w:sz="8" w:space="0" w:color="6EC040" w:themeColor="accent2"/>
          <w:right w:val="single" w:sz="8" w:space="0" w:color="6EC040" w:themeColor="accent2"/>
        </w:tcBorders>
      </w:tcPr>
    </w:tblStylePr>
    <w:tblStylePr w:type="firstCol">
      <w:rPr>
        <w:b/>
        <w:bCs/>
      </w:rPr>
    </w:tblStylePr>
    <w:tblStylePr w:type="lastCol">
      <w:rPr>
        <w:b/>
        <w:bCs/>
      </w:rPr>
    </w:tblStylePr>
    <w:tblStylePr w:type="band1Vert">
      <w:tblPr/>
      <w:tcPr>
        <w:tcBorders>
          <w:top w:val="single" w:sz="8" w:space="0" w:color="6EC040" w:themeColor="accent2"/>
          <w:left w:val="single" w:sz="8" w:space="0" w:color="6EC040" w:themeColor="accent2"/>
          <w:bottom w:val="single" w:sz="8" w:space="0" w:color="6EC040" w:themeColor="accent2"/>
          <w:right w:val="single" w:sz="8" w:space="0" w:color="6EC040" w:themeColor="accent2"/>
        </w:tcBorders>
      </w:tcPr>
    </w:tblStylePr>
    <w:tblStylePr w:type="band1Horz">
      <w:tblPr/>
      <w:tcPr>
        <w:tcBorders>
          <w:top w:val="single" w:sz="8" w:space="0" w:color="6EC040" w:themeColor="accent2"/>
          <w:left w:val="single" w:sz="8" w:space="0" w:color="6EC040" w:themeColor="accent2"/>
          <w:bottom w:val="single" w:sz="8" w:space="0" w:color="6EC040" w:themeColor="accent2"/>
          <w:right w:val="single" w:sz="8" w:space="0" w:color="6EC040" w:themeColor="accent2"/>
        </w:tcBorders>
      </w:tcPr>
    </w:tblStylePr>
  </w:style>
  <w:style w:type="table" w:styleId="LightList-Accent3">
    <w:name w:val="Light List Accent 3"/>
    <w:basedOn w:val="TableNormal"/>
    <w:uiPriority w:val="61"/>
    <w:rsid w:val="0098213E"/>
    <w:pPr>
      <w:spacing w:after="0"/>
    </w:pPr>
    <w:tblPr>
      <w:tblStyleRowBandSize w:val="1"/>
      <w:tblStyleColBandSize w:val="1"/>
      <w:tblBorders>
        <w:top w:val="single" w:sz="8" w:space="0" w:color="FDC82F" w:themeColor="accent3"/>
        <w:left w:val="single" w:sz="8" w:space="0" w:color="FDC82F" w:themeColor="accent3"/>
        <w:bottom w:val="single" w:sz="8" w:space="0" w:color="FDC82F" w:themeColor="accent3"/>
        <w:right w:val="single" w:sz="8" w:space="0" w:color="FDC82F" w:themeColor="accent3"/>
      </w:tblBorders>
    </w:tblPr>
    <w:tblStylePr w:type="firstRow">
      <w:pPr>
        <w:spacing w:before="0" w:after="0" w:line="240" w:lineRule="auto"/>
      </w:pPr>
      <w:rPr>
        <w:b/>
        <w:bCs/>
        <w:color w:val="44546A" w:themeColor="background1"/>
      </w:rPr>
      <w:tblPr/>
      <w:tcPr>
        <w:shd w:val="clear" w:color="auto" w:fill="FDC82F" w:themeFill="accent3"/>
      </w:tcPr>
    </w:tblStylePr>
    <w:tblStylePr w:type="lastRow">
      <w:pPr>
        <w:spacing w:before="0" w:after="0" w:line="240" w:lineRule="auto"/>
      </w:pPr>
      <w:rPr>
        <w:b/>
        <w:bCs/>
      </w:rPr>
      <w:tblPr/>
      <w:tcPr>
        <w:tcBorders>
          <w:top w:val="double" w:sz="6" w:space="0" w:color="FDC82F" w:themeColor="accent3"/>
          <w:left w:val="single" w:sz="8" w:space="0" w:color="FDC82F" w:themeColor="accent3"/>
          <w:bottom w:val="single" w:sz="8" w:space="0" w:color="FDC82F" w:themeColor="accent3"/>
          <w:right w:val="single" w:sz="8" w:space="0" w:color="FDC82F" w:themeColor="accent3"/>
        </w:tcBorders>
      </w:tcPr>
    </w:tblStylePr>
    <w:tblStylePr w:type="firstCol">
      <w:rPr>
        <w:b/>
        <w:bCs/>
      </w:rPr>
    </w:tblStylePr>
    <w:tblStylePr w:type="lastCol">
      <w:rPr>
        <w:b/>
        <w:bCs/>
      </w:rPr>
    </w:tblStylePr>
    <w:tblStylePr w:type="band1Vert">
      <w:tblPr/>
      <w:tcPr>
        <w:tcBorders>
          <w:top w:val="single" w:sz="8" w:space="0" w:color="FDC82F" w:themeColor="accent3"/>
          <w:left w:val="single" w:sz="8" w:space="0" w:color="FDC82F" w:themeColor="accent3"/>
          <w:bottom w:val="single" w:sz="8" w:space="0" w:color="FDC82F" w:themeColor="accent3"/>
          <w:right w:val="single" w:sz="8" w:space="0" w:color="FDC82F" w:themeColor="accent3"/>
        </w:tcBorders>
      </w:tcPr>
    </w:tblStylePr>
    <w:tblStylePr w:type="band1Horz">
      <w:tblPr/>
      <w:tcPr>
        <w:tcBorders>
          <w:top w:val="single" w:sz="8" w:space="0" w:color="FDC82F" w:themeColor="accent3"/>
          <w:left w:val="single" w:sz="8" w:space="0" w:color="FDC82F" w:themeColor="accent3"/>
          <w:bottom w:val="single" w:sz="8" w:space="0" w:color="FDC82F" w:themeColor="accent3"/>
          <w:right w:val="single" w:sz="8" w:space="0" w:color="FDC82F" w:themeColor="accent3"/>
        </w:tcBorders>
      </w:tcPr>
    </w:tblStylePr>
  </w:style>
  <w:style w:type="table" w:customStyle="1" w:styleId="MediumShading1-Accent11">
    <w:name w:val="Medium Shading 1 - Accent 11"/>
    <w:basedOn w:val="TableNormal"/>
    <w:uiPriority w:val="63"/>
    <w:rsid w:val="0098213E"/>
    <w:pPr>
      <w:spacing w:after="0"/>
    </w:pPr>
    <w:tblPr>
      <w:tblStyleRowBandSize w:val="1"/>
      <w:tblStyleColBandSize w:val="1"/>
      <w:tblBorders>
        <w:top w:val="single" w:sz="8" w:space="0" w:color="6EBCD8" w:themeColor="accent1" w:themeTint="BF"/>
        <w:left w:val="single" w:sz="8" w:space="0" w:color="6EBCD8" w:themeColor="accent1" w:themeTint="BF"/>
        <w:bottom w:val="single" w:sz="8" w:space="0" w:color="6EBCD8" w:themeColor="accent1" w:themeTint="BF"/>
        <w:right w:val="single" w:sz="8" w:space="0" w:color="6EBCD8" w:themeColor="accent1" w:themeTint="BF"/>
        <w:insideH w:val="single" w:sz="8" w:space="0" w:color="6EBCD8" w:themeColor="accent1" w:themeTint="BF"/>
      </w:tblBorders>
    </w:tblPr>
    <w:tblStylePr w:type="firstRow">
      <w:pPr>
        <w:spacing w:before="0" w:after="0" w:line="240" w:lineRule="auto"/>
      </w:pPr>
      <w:rPr>
        <w:b/>
        <w:bCs/>
        <w:color w:val="44546A" w:themeColor="background1"/>
      </w:rPr>
      <w:tblPr/>
      <w:tcPr>
        <w:tcBorders>
          <w:top w:val="single" w:sz="8" w:space="0" w:color="6EBCD8" w:themeColor="accent1" w:themeTint="BF"/>
          <w:left w:val="single" w:sz="8" w:space="0" w:color="6EBCD8" w:themeColor="accent1" w:themeTint="BF"/>
          <w:bottom w:val="single" w:sz="8" w:space="0" w:color="6EBCD8" w:themeColor="accent1" w:themeTint="BF"/>
          <w:right w:val="single" w:sz="8" w:space="0" w:color="6EBCD8" w:themeColor="accent1" w:themeTint="BF"/>
          <w:insideH w:val="nil"/>
          <w:insideV w:val="nil"/>
        </w:tcBorders>
        <w:shd w:val="clear" w:color="auto" w:fill="3FA6CC" w:themeFill="accent1"/>
      </w:tcPr>
    </w:tblStylePr>
    <w:tblStylePr w:type="lastRow">
      <w:pPr>
        <w:spacing w:before="0" w:after="0" w:line="240" w:lineRule="auto"/>
      </w:pPr>
      <w:rPr>
        <w:b/>
        <w:bCs/>
      </w:rPr>
      <w:tblPr/>
      <w:tcPr>
        <w:tcBorders>
          <w:top w:val="double" w:sz="6" w:space="0" w:color="6EBCD8" w:themeColor="accent1" w:themeTint="BF"/>
          <w:left w:val="single" w:sz="8" w:space="0" w:color="6EBCD8" w:themeColor="accent1" w:themeTint="BF"/>
          <w:bottom w:val="single" w:sz="8" w:space="0" w:color="6EBCD8" w:themeColor="accent1" w:themeTint="BF"/>
          <w:right w:val="single" w:sz="8" w:space="0" w:color="6EBCD8"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E8F2" w:themeFill="accent1" w:themeFillTint="3F"/>
      </w:tcPr>
    </w:tblStylePr>
    <w:tblStylePr w:type="band1Horz">
      <w:tblPr/>
      <w:tcPr>
        <w:tcBorders>
          <w:insideH w:val="nil"/>
          <w:insideV w:val="nil"/>
        </w:tcBorders>
        <w:shd w:val="clear" w:color="auto" w:fill="CFE8F2" w:themeFill="accent1" w:themeFillTint="3F"/>
      </w:tcPr>
    </w:tblStylePr>
    <w:tblStylePr w:type="band2Horz">
      <w:tblPr/>
      <w:tcPr>
        <w:tcBorders>
          <w:insideH w:val="nil"/>
          <w:insideV w:val="nil"/>
        </w:tcBorders>
      </w:tcPr>
    </w:tblStylePr>
  </w:style>
  <w:style w:type="paragraph" w:customStyle="1" w:styleId="BodyTextGrey">
    <w:name w:val="Body Text Grey"/>
    <w:basedOn w:val="BodyText"/>
    <w:link w:val="BodyTextGreyChar"/>
    <w:qFormat/>
    <w:rsid w:val="00773FF9"/>
    <w:pPr>
      <w:spacing w:after="200"/>
    </w:pPr>
    <w:rPr>
      <w:color w:val="455560" w:themeColor="accent5"/>
      <w:lang w:eastAsia="en-US"/>
    </w:rPr>
  </w:style>
  <w:style w:type="paragraph" w:customStyle="1" w:styleId="White">
    <w:name w:val="White"/>
    <w:basedOn w:val="BodyText"/>
    <w:next w:val="BodyTextGrey"/>
    <w:uiPriority w:val="2"/>
    <w:qFormat/>
    <w:rsid w:val="006C2E18"/>
    <w:pPr>
      <w:spacing w:after="200"/>
    </w:pPr>
    <w:rPr>
      <w:color w:val="44546A" w:themeColor="background1"/>
      <w:lang w:eastAsia="en-US"/>
    </w:rPr>
  </w:style>
  <w:style w:type="paragraph" w:customStyle="1" w:styleId="Orange">
    <w:name w:val="Orange"/>
    <w:basedOn w:val="BodyText"/>
    <w:next w:val="BodyTextGrey"/>
    <w:uiPriority w:val="2"/>
    <w:rsid w:val="006C2E18"/>
    <w:pPr>
      <w:spacing w:after="200"/>
    </w:pPr>
    <w:rPr>
      <w:color w:val="3FA6CC" w:themeColor="accent1"/>
      <w:lang w:eastAsia="en-US"/>
    </w:rPr>
  </w:style>
  <w:style w:type="numbering" w:customStyle="1" w:styleId="HRBullet">
    <w:name w:val="HR Bullet"/>
    <w:uiPriority w:val="99"/>
    <w:rsid w:val="00E42972"/>
    <w:pPr>
      <w:numPr>
        <w:numId w:val="3"/>
      </w:numPr>
    </w:pPr>
  </w:style>
  <w:style w:type="paragraph" w:styleId="ListParagraph">
    <w:name w:val="List Paragraph"/>
    <w:basedOn w:val="Normal"/>
    <w:uiPriority w:val="34"/>
    <w:rsid w:val="00EA5AE2"/>
    <w:pPr>
      <w:ind w:left="720"/>
      <w:contextualSpacing/>
    </w:pPr>
  </w:style>
  <w:style w:type="paragraph" w:customStyle="1" w:styleId="Blue">
    <w:name w:val="Blue"/>
    <w:basedOn w:val="BodyText"/>
    <w:next w:val="BodyTextGrey"/>
    <w:uiPriority w:val="2"/>
    <w:qFormat/>
    <w:rsid w:val="006C2E18"/>
    <w:pPr>
      <w:spacing w:after="200"/>
    </w:pPr>
    <w:rPr>
      <w:color w:val="FFFFFF" w:themeColor="text1"/>
      <w:lang w:eastAsia="en-US"/>
    </w:rPr>
  </w:style>
  <w:style w:type="paragraph" w:customStyle="1" w:styleId="HRTest18">
    <w:name w:val="HRTest18"/>
    <w:basedOn w:val="Normal"/>
    <w:uiPriority w:val="3"/>
    <w:rsid w:val="0098213E"/>
    <w:pPr>
      <w:spacing w:after="20"/>
      <w:ind w:left="200"/>
    </w:pPr>
    <w:rPr>
      <w:caps/>
      <w:color w:val="FF9900"/>
    </w:rPr>
  </w:style>
  <w:style w:type="table" w:styleId="LightList-Accent4">
    <w:name w:val="Light List Accent 4"/>
    <w:basedOn w:val="TableNormal"/>
    <w:uiPriority w:val="61"/>
    <w:rsid w:val="0098213E"/>
    <w:pPr>
      <w:spacing w:after="0"/>
    </w:pPr>
    <w:tblPr>
      <w:tblStyleRowBandSize w:val="1"/>
      <w:tblStyleColBandSize w:val="1"/>
      <w:tblBorders>
        <w:top w:val="single" w:sz="8" w:space="0" w:color="F2016C" w:themeColor="accent4"/>
        <w:left w:val="single" w:sz="8" w:space="0" w:color="F2016C" w:themeColor="accent4"/>
        <w:bottom w:val="single" w:sz="8" w:space="0" w:color="F2016C" w:themeColor="accent4"/>
        <w:right w:val="single" w:sz="8" w:space="0" w:color="F2016C" w:themeColor="accent4"/>
      </w:tblBorders>
    </w:tblPr>
    <w:tblStylePr w:type="firstRow">
      <w:pPr>
        <w:spacing w:before="0" w:after="0" w:line="240" w:lineRule="auto"/>
      </w:pPr>
      <w:rPr>
        <w:b/>
        <w:bCs/>
        <w:color w:val="44546A" w:themeColor="background1"/>
      </w:rPr>
      <w:tblPr/>
      <w:tcPr>
        <w:shd w:val="clear" w:color="auto" w:fill="F2016C" w:themeFill="accent4"/>
      </w:tcPr>
    </w:tblStylePr>
    <w:tblStylePr w:type="lastRow">
      <w:pPr>
        <w:spacing w:before="0" w:after="0" w:line="240" w:lineRule="auto"/>
      </w:pPr>
      <w:rPr>
        <w:b/>
        <w:bCs/>
      </w:rPr>
      <w:tblPr/>
      <w:tcPr>
        <w:tcBorders>
          <w:top w:val="double" w:sz="6" w:space="0" w:color="F2016C" w:themeColor="accent4"/>
          <w:left w:val="single" w:sz="8" w:space="0" w:color="F2016C" w:themeColor="accent4"/>
          <w:bottom w:val="single" w:sz="8" w:space="0" w:color="F2016C" w:themeColor="accent4"/>
          <w:right w:val="single" w:sz="8" w:space="0" w:color="F2016C" w:themeColor="accent4"/>
        </w:tcBorders>
      </w:tcPr>
    </w:tblStylePr>
    <w:tblStylePr w:type="firstCol">
      <w:rPr>
        <w:b/>
        <w:bCs/>
      </w:rPr>
    </w:tblStylePr>
    <w:tblStylePr w:type="lastCol">
      <w:rPr>
        <w:b/>
        <w:bCs/>
      </w:rPr>
    </w:tblStylePr>
    <w:tblStylePr w:type="band1Vert">
      <w:tblPr/>
      <w:tcPr>
        <w:tcBorders>
          <w:top w:val="single" w:sz="8" w:space="0" w:color="F2016C" w:themeColor="accent4"/>
          <w:left w:val="single" w:sz="8" w:space="0" w:color="F2016C" w:themeColor="accent4"/>
          <w:bottom w:val="single" w:sz="8" w:space="0" w:color="F2016C" w:themeColor="accent4"/>
          <w:right w:val="single" w:sz="8" w:space="0" w:color="F2016C" w:themeColor="accent4"/>
        </w:tcBorders>
      </w:tcPr>
    </w:tblStylePr>
    <w:tblStylePr w:type="band1Horz">
      <w:tblPr/>
      <w:tcPr>
        <w:tcBorders>
          <w:top w:val="single" w:sz="8" w:space="0" w:color="F2016C" w:themeColor="accent4"/>
          <w:left w:val="single" w:sz="8" w:space="0" w:color="F2016C" w:themeColor="accent4"/>
          <w:bottom w:val="single" w:sz="8" w:space="0" w:color="F2016C" w:themeColor="accent4"/>
          <w:right w:val="single" w:sz="8" w:space="0" w:color="F2016C" w:themeColor="accent4"/>
        </w:tcBorders>
      </w:tcPr>
    </w:tblStylePr>
  </w:style>
  <w:style w:type="paragraph" w:customStyle="1" w:styleId="MeetingHeader">
    <w:name w:val="MeetingHeader"/>
    <w:basedOn w:val="BodyText"/>
    <w:uiPriority w:val="3"/>
    <w:rsid w:val="0098213E"/>
    <w:pPr>
      <w:jc w:val="both"/>
    </w:pPr>
    <w:rPr>
      <w:iCs w:val="0"/>
      <w:color w:val="4B4B4B"/>
    </w:rPr>
  </w:style>
  <w:style w:type="paragraph" w:customStyle="1" w:styleId="MeetingHeaderCaps">
    <w:name w:val="MeetingHeaderCaps"/>
    <w:basedOn w:val="BodyText"/>
    <w:uiPriority w:val="3"/>
    <w:rsid w:val="0098213E"/>
    <w:pPr>
      <w:jc w:val="both"/>
    </w:pPr>
    <w:rPr>
      <w:iCs w:val="0"/>
      <w:caps/>
      <w:color w:val="4B4B4B"/>
    </w:rPr>
  </w:style>
  <w:style w:type="paragraph" w:customStyle="1" w:styleId="MeetingTitle">
    <w:name w:val="MeetingTitle"/>
    <w:basedOn w:val="MeetingHeaderCaps"/>
    <w:next w:val="MeetingHeaderCaps"/>
    <w:uiPriority w:val="3"/>
    <w:rsid w:val="0098213E"/>
  </w:style>
  <w:style w:type="character" w:customStyle="1" w:styleId="Style1">
    <w:name w:val="Style1"/>
    <w:uiPriority w:val="1"/>
    <w:rsid w:val="0098213E"/>
  </w:style>
  <w:style w:type="character" w:styleId="SubtleEmphasis">
    <w:name w:val="Subtle Emphasis"/>
    <w:basedOn w:val="DefaultParagraphFont"/>
    <w:uiPriority w:val="19"/>
    <w:rsid w:val="0098213E"/>
    <w:rPr>
      <w:i/>
      <w:iCs/>
      <w:color w:val="FFFFFF" w:themeColor="text1" w:themeTint="7F"/>
    </w:rPr>
  </w:style>
  <w:style w:type="paragraph" w:styleId="Title">
    <w:name w:val="Title"/>
    <w:basedOn w:val="Normal"/>
    <w:link w:val="TitleChar"/>
    <w:uiPriority w:val="3"/>
    <w:rsid w:val="0098213E"/>
    <w:pPr>
      <w:spacing w:before="240" w:after="60" w:line="280" w:lineRule="exact"/>
      <w:jc w:val="left"/>
      <w:outlineLvl w:val="0"/>
    </w:pPr>
    <w:rPr>
      <w:bCs/>
      <w:caps/>
      <w:color w:val="3FA6CC"/>
      <w:kern w:val="28"/>
      <w:sz w:val="36"/>
      <w:szCs w:val="36"/>
    </w:rPr>
  </w:style>
  <w:style w:type="character" w:customStyle="1" w:styleId="TitleChar">
    <w:name w:val="Title Char"/>
    <w:basedOn w:val="DefaultParagraphFont"/>
    <w:link w:val="Title"/>
    <w:uiPriority w:val="3"/>
    <w:rsid w:val="0098213E"/>
    <w:rPr>
      <w:rFonts w:ascii="Arial" w:eastAsia="Times New Roman" w:hAnsi="Arial" w:cs="Arial"/>
      <w:bCs/>
      <w:iCs/>
      <w:caps/>
      <w:color w:val="3FA6CC"/>
      <w:kern w:val="28"/>
      <w:sz w:val="36"/>
      <w:szCs w:val="36"/>
    </w:rPr>
  </w:style>
  <w:style w:type="paragraph" w:customStyle="1" w:styleId="StyleTenderVerticalBigBlue48ptLeft02cmRight02">
    <w:name w:val="Style Tender Vertical Big Blue + 48 pt Left:  0.2 cm Right:  0.2 ..."/>
    <w:basedOn w:val="TenderVerticalBigBlue"/>
    <w:rsid w:val="00302D29"/>
    <w:pPr>
      <w:spacing w:after="20"/>
      <w:ind w:left="113" w:right="113"/>
    </w:pPr>
    <w:rPr>
      <w:rFonts w:cs="Times New Roman"/>
      <w:iCs w:val="0"/>
      <w:caps w:val="0"/>
    </w:rPr>
  </w:style>
  <w:style w:type="paragraph" w:customStyle="1" w:styleId="BulletHymans">
    <w:name w:val="Bullet Hymans"/>
    <w:link w:val="BulletHymansChar"/>
    <w:uiPriority w:val="2"/>
    <w:qFormat/>
    <w:rsid w:val="0031795F"/>
    <w:pPr>
      <w:numPr>
        <w:numId w:val="10"/>
      </w:numPr>
      <w:spacing w:after="140" w:line="280" w:lineRule="exact"/>
    </w:pPr>
    <w:rPr>
      <w:rFonts w:ascii="Arial" w:hAnsi="Arial" w:cs="Arial"/>
      <w:iCs/>
      <w:color w:val="455560"/>
      <w:lang w:eastAsia="en-US"/>
    </w:rPr>
  </w:style>
  <w:style w:type="paragraph" w:customStyle="1" w:styleId="NumberHymans">
    <w:name w:val="Number Hymans"/>
    <w:uiPriority w:val="2"/>
    <w:qFormat/>
    <w:rsid w:val="0031795F"/>
    <w:pPr>
      <w:numPr>
        <w:numId w:val="11"/>
      </w:numPr>
      <w:spacing w:after="140" w:line="280" w:lineRule="exact"/>
    </w:pPr>
    <w:rPr>
      <w:rFonts w:ascii="Arial" w:hAnsi="Arial" w:cs="Arial"/>
      <w:iCs/>
      <w:color w:val="455560"/>
      <w:lang w:eastAsia="en-US"/>
    </w:rPr>
  </w:style>
  <w:style w:type="paragraph" w:customStyle="1" w:styleId="StyleTenderBluetextBefore1pt">
    <w:name w:val="Style Tender Blue text + Before:  1 pt"/>
    <w:basedOn w:val="TenderBluetext"/>
    <w:rsid w:val="00C3770F"/>
    <w:pPr>
      <w:spacing w:before="20"/>
    </w:pPr>
    <w:rPr>
      <w:caps/>
    </w:rPr>
  </w:style>
  <w:style w:type="paragraph" w:customStyle="1" w:styleId="Filepath">
    <w:name w:val="Filepath"/>
    <w:uiPriority w:val="3"/>
    <w:rsid w:val="00425E54"/>
    <w:pPr>
      <w:spacing w:line="280" w:lineRule="atLeast"/>
      <w:ind w:left="-425"/>
    </w:pPr>
    <w:rPr>
      <w:rFonts w:ascii="Arial" w:hAnsi="Arial" w:cs="Arial"/>
      <w:color w:val="4B4B4B"/>
      <w:sz w:val="14"/>
    </w:rPr>
  </w:style>
  <w:style w:type="paragraph" w:styleId="BalloonText">
    <w:name w:val="Balloon Text"/>
    <w:basedOn w:val="Normal"/>
    <w:link w:val="BalloonTextChar"/>
    <w:autoRedefine/>
    <w:uiPriority w:val="99"/>
    <w:semiHidden/>
    <w:unhideWhenUsed/>
    <w:rsid w:val="008A420D"/>
    <w:pPr>
      <w:spacing w:line="240" w:lineRule="auto"/>
    </w:pPr>
    <w:rPr>
      <w:rFonts w:ascii="Tahoma" w:hAnsi="Tahoma" w:cs="Tahoma"/>
      <w:color w:val="323E4F" w:themeColor="background1" w:themeShade="BF"/>
      <w:sz w:val="16"/>
      <w:szCs w:val="16"/>
    </w:rPr>
  </w:style>
  <w:style w:type="character" w:customStyle="1" w:styleId="BalloonTextChar">
    <w:name w:val="Balloon Text Char"/>
    <w:basedOn w:val="DefaultParagraphFont"/>
    <w:link w:val="BalloonText"/>
    <w:uiPriority w:val="99"/>
    <w:semiHidden/>
    <w:rsid w:val="008A420D"/>
    <w:rPr>
      <w:rFonts w:ascii="Tahoma" w:hAnsi="Tahoma" w:cs="Tahoma"/>
      <w:iCs/>
      <w:color w:val="323E4F" w:themeColor="background1" w:themeShade="BF"/>
      <w:sz w:val="16"/>
      <w:szCs w:val="16"/>
    </w:rPr>
  </w:style>
  <w:style w:type="paragraph" w:customStyle="1" w:styleId="TitleHeading">
    <w:name w:val="Title Heading"/>
    <w:basedOn w:val="TenderVerticalBigBlue"/>
    <w:link w:val="TitleHeadingChar"/>
    <w:uiPriority w:val="3"/>
    <w:rsid w:val="00336CCD"/>
    <w:pPr>
      <w:spacing w:after="20" w:line="360" w:lineRule="auto"/>
      <w:ind w:left="350"/>
    </w:pPr>
    <w:rPr>
      <w:rFonts w:ascii="Times LT" w:hAnsi="Times LT"/>
      <w:caps w:val="0"/>
      <w:snapToGrid w:val="0"/>
      <w:color w:val="35434D"/>
      <w:sz w:val="96"/>
      <w:szCs w:val="96"/>
    </w:rPr>
  </w:style>
  <w:style w:type="paragraph" w:customStyle="1" w:styleId="TitleHeadingGrey43pt">
    <w:name w:val="Title Heading_Grey_43pt"/>
    <w:basedOn w:val="TitleHeading"/>
    <w:link w:val="TitleHeadingGrey43ptChar"/>
    <w:uiPriority w:val="3"/>
    <w:rsid w:val="00C97A1C"/>
    <w:rPr>
      <w:rFonts w:ascii="Times New Roman" w:hAnsi="Times New Roman" w:cs="Times New Roman"/>
      <w:sz w:val="86"/>
      <w:szCs w:val="86"/>
    </w:rPr>
  </w:style>
  <w:style w:type="character" w:customStyle="1" w:styleId="TenderVerticalBigBlueChar">
    <w:name w:val="Tender Vertical Big Blue Char"/>
    <w:basedOn w:val="DefaultParagraphFont"/>
    <w:link w:val="TenderVerticalBigBlue"/>
    <w:uiPriority w:val="3"/>
    <w:rsid w:val="00336CCD"/>
    <w:rPr>
      <w:rFonts w:ascii="Arial" w:hAnsi="Arial" w:cs="Arial"/>
      <w:iCs/>
      <w:caps/>
      <w:color w:val="40A6CC"/>
      <w:sz w:val="112"/>
      <w:szCs w:val="112"/>
    </w:rPr>
  </w:style>
  <w:style w:type="character" w:customStyle="1" w:styleId="TitleHeadingChar">
    <w:name w:val="Title Heading Char"/>
    <w:basedOn w:val="TenderVerticalBigBlueChar"/>
    <w:link w:val="TitleHeading"/>
    <w:uiPriority w:val="3"/>
    <w:rsid w:val="00336CCD"/>
    <w:rPr>
      <w:rFonts w:ascii="Times LT" w:hAnsi="Times LT" w:cs="Arial"/>
      <w:iCs/>
      <w:caps w:val="0"/>
      <w:snapToGrid w:val="0"/>
      <w:color w:val="35434D"/>
      <w:sz w:val="96"/>
      <w:szCs w:val="96"/>
    </w:rPr>
  </w:style>
  <w:style w:type="paragraph" w:customStyle="1" w:styleId="HeadingGrey43pt">
    <w:name w:val="Heading_Grey_43pt"/>
    <w:basedOn w:val="TitleHeadingGrey43pt"/>
    <w:link w:val="HeadingGrey43ptChar"/>
    <w:uiPriority w:val="3"/>
    <w:rsid w:val="004F4319"/>
    <w:pPr>
      <w:spacing w:line="240" w:lineRule="auto"/>
      <w:ind w:left="-125"/>
    </w:pPr>
    <w:rPr>
      <w:color w:val="455560"/>
    </w:rPr>
  </w:style>
  <w:style w:type="character" w:customStyle="1" w:styleId="TitleHeadingGrey43ptChar">
    <w:name w:val="Title Heading_Grey_43pt Char"/>
    <w:basedOn w:val="TitleHeadingChar"/>
    <w:link w:val="TitleHeadingGrey43pt"/>
    <w:uiPriority w:val="3"/>
    <w:rsid w:val="00C97A1C"/>
    <w:rPr>
      <w:rFonts w:ascii="Times LT" w:hAnsi="Times LT" w:cs="Arial"/>
      <w:iCs/>
      <w:caps w:val="0"/>
      <w:snapToGrid w:val="0"/>
      <w:color w:val="35434D"/>
      <w:sz w:val="86"/>
      <w:szCs w:val="86"/>
    </w:rPr>
  </w:style>
  <w:style w:type="paragraph" w:customStyle="1" w:styleId="Subheading">
    <w:name w:val="Subheading"/>
    <w:basedOn w:val="Heading3"/>
    <w:link w:val="SubheadingChar"/>
    <w:uiPriority w:val="3"/>
    <w:qFormat/>
    <w:rsid w:val="00773FF9"/>
    <w:pPr>
      <w:outlineLvl w:val="9"/>
    </w:pPr>
    <w:rPr>
      <w:b w:val="0"/>
      <w:sz w:val="36"/>
      <w:szCs w:val="36"/>
    </w:rPr>
  </w:style>
  <w:style w:type="character" w:customStyle="1" w:styleId="HeadingGrey43ptChar">
    <w:name w:val="Heading_Grey_43pt Char"/>
    <w:basedOn w:val="TitleHeadingGrey43ptChar"/>
    <w:link w:val="HeadingGrey43pt"/>
    <w:uiPriority w:val="3"/>
    <w:rsid w:val="004F4319"/>
    <w:rPr>
      <w:rFonts w:ascii="Times LT" w:hAnsi="Times LT" w:cs="Arial"/>
      <w:iCs/>
      <w:caps w:val="0"/>
      <w:snapToGrid w:val="0"/>
      <w:color w:val="455560"/>
      <w:sz w:val="86"/>
      <w:szCs w:val="86"/>
    </w:rPr>
  </w:style>
  <w:style w:type="paragraph" w:customStyle="1" w:styleId="Subheading1">
    <w:name w:val="Subheading 1"/>
    <w:basedOn w:val="Heading3"/>
    <w:link w:val="Subheading1Char"/>
    <w:uiPriority w:val="3"/>
    <w:qFormat/>
    <w:rsid w:val="002A5B4C"/>
    <w:pPr>
      <w:ind w:left="-122"/>
    </w:pPr>
    <w:rPr>
      <w:b w:val="0"/>
      <w:color w:val="455560"/>
    </w:rPr>
  </w:style>
  <w:style w:type="character" w:customStyle="1" w:styleId="SubheadingChar">
    <w:name w:val="Subheading Char"/>
    <w:basedOn w:val="Heading3Char"/>
    <w:link w:val="Subheading"/>
    <w:uiPriority w:val="3"/>
    <w:rsid w:val="00773FF9"/>
    <w:rPr>
      <w:rFonts w:ascii="Arial" w:hAnsi="Arial" w:cs="Arial"/>
      <w:b w:val="0"/>
      <w:iCs/>
      <w:color w:val="85898A" w:themeColor="accent6"/>
      <w:sz w:val="36"/>
      <w:szCs w:val="36"/>
      <w:lang w:eastAsia="en-US"/>
    </w:rPr>
  </w:style>
  <w:style w:type="character" w:customStyle="1" w:styleId="Subheading1Char">
    <w:name w:val="Subheading 1 Char"/>
    <w:basedOn w:val="Heading3Char"/>
    <w:link w:val="Subheading1"/>
    <w:uiPriority w:val="3"/>
    <w:rsid w:val="002A5B4C"/>
    <w:rPr>
      <w:rFonts w:ascii="Arial" w:hAnsi="Arial" w:cs="Arial"/>
      <w:b w:val="0"/>
      <w:iCs/>
      <w:color w:val="455560"/>
      <w:lang w:eastAsia="en-US"/>
    </w:rPr>
  </w:style>
  <w:style w:type="paragraph" w:customStyle="1" w:styleId="BasicParagraph">
    <w:name w:val="[Basic Paragraph]"/>
    <w:basedOn w:val="Normal"/>
    <w:uiPriority w:val="99"/>
    <w:rsid w:val="00133D70"/>
    <w:pPr>
      <w:autoSpaceDE w:val="0"/>
      <w:autoSpaceDN w:val="0"/>
      <w:adjustRightInd w:val="0"/>
      <w:spacing w:before="0" w:line="288" w:lineRule="auto"/>
      <w:jc w:val="left"/>
      <w:textAlignment w:val="center"/>
    </w:pPr>
    <w:rPr>
      <w:rFonts w:ascii="Minion Pro" w:hAnsi="Minion Pro" w:cs="Minion Pro"/>
      <w:iCs w:val="0"/>
      <w:color w:val="000000"/>
      <w:sz w:val="24"/>
      <w:szCs w:val="24"/>
    </w:rPr>
  </w:style>
  <w:style w:type="paragraph" w:customStyle="1" w:styleId="Bodynew">
    <w:name w:val="Body new"/>
    <w:basedOn w:val="BodyTextGrey"/>
    <w:link w:val="BodynewChar"/>
    <w:uiPriority w:val="3"/>
    <w:rsid w:val="00133D70"/>
  </w:style>
  <w:style w:type="paragraph" w:customStyle="1" w:styleId="Subnew">
    <w:name w:val="Sub new"/>
    <w:basedOn w:val="Heading2"/>
    <w:link w:val="SubnewChar"/>
    <w:uiPriority w:val="3"/>
    <w:qFormat/>
    <w:rsid w:val="00133D70"/>
  </w:style>
  <w:style w:type="character" w:customStyle="1" w:styleId="BodyTextGreyChar">
    <w:name w:val="Body Text Grey Char"/>
    <w:basedOn w:val="BodyTextChar"/>
    <w:link w:val="BodyTextGrey"/>
    <w:rsid w:val="00773FF9"/>
    <w:rPr>
      <w:rFonts w:ascii="Arial" w:eastAsia="Times New Roman" w:hAnsi="Arial" w:cs="Arial"/>
      <w:iCs/>
      <w:color w:val="455560" w:themeColor="accent5"/>
      <w:sz w:val="20"/>
      <w:szCs w:val="20"/>
      <w:lang w:eastAsia="en-US"/>
    </w:rPr>
  </w:style>
  <w:style w:type="character" w:customStyle="1" w:styleId="BodynewChar">
    <w:name w:val="Body new Char"/>
    <w:basedOn w:val="BodyTextGreyChar"/>
    <w:link w:val="Bodynew"/>
    <w:uiPriority w:val="3"/>
    <w:rsid w:val="00133D70"/>
    <w:rPr>
      <w:rFonts w:ascii="Arial" w:eastAsia="Times New Roman" w:hAnsi="Arial" w:cs="Arial"/>
      <w:iCs/>
      <w:color w:val="455560"/>
      <w:sz w:val="20"/>
      <w:szCs w:val="20"/>
      <w:lang w:eastAsia="en-US"/>
    </w:rPr>
  </w:style>
  <w:style w:type="character" w:customStyle="1" w:styleId="SubnewChar">
    <w:name w:val="Sub new Char"/>
    <w:basedOn w:val="Heading2Char"/>
    <w:link w:val="Subnew"/>
    <w:uiPriority w:val="3"/>
    <w:rsid w:val="00133D70"/>
    <w:rPr>
      <w:rFonts w:ascii="Arial" w:hAnsi="Arial" w:cs="Arial"/>
      <w:b/>
      <w:iCs/>
      <w:color w:val="85898A" w:themeColor="accent6"/>
      <w:lang w:eastAsia="en-US"/>
    </w:rPr>
  </w:style>
  <w:style w:type="paragraph" w:customStyle="1" w:styleId="TitleNewGrey">
    <w:name w:val="Title New_Grey"/>
    <w:basedOn w:val="Subheading"/>
    <w:link w:val="TitleNewGreyChar"/>
    <w:uiPriority w:val="3"/>
    <w:qFormat/>
    <w:rsid w:val="00E57572"/>
    <w:rPr>
      <w:rFonts w:ascii="Times New Roman" w:hAnsi="Times New Roman" w:cs="Times New Roman"/>
      <w:color w:val="455560"/>
      <w:sz w:val="80"/>
      <w:szCs w:val="80"/>
    </w:rPr>
  </w:style>
  <w:style w:type="paragraph" w:customStyle="1" w:styleId="Heading2NewGreen">
    <w:name w:val="Heading 2 New Green"/>
    <w:basedOn w:val="Subnew"/>
    <w:link w:val="Heading2NewGreenChar"/>
    <w:uiPriority w:val="3"/>
    <w:rsid w:val="00011AED"/>
  </w:style>
  <w:style w:type="character" w:customStyle="1" w:styleId="TitleNewGreyChar">
    <w:name w:val="Title New_Grey Char"/>
    <w:basedOn w:val="HeadingGrey43ptChar"/>
    <w:link w:val="TitleNewGrey"/>
    <w:uiPriority w:val="3"/>
    <w:rsid w:val="00E57572"/>
    <w:rPr>
      <w:rFonts w:ascii="Times LT" w:hAnsi="Times LT" w:cs="Arial"/>
      <w:iCs/>
      <w:caps w:val="0"/>
      <w:snapToGrid/>
      <w:color w:val="455560"/>
      <w:sz w:val="80"/>
      <w:szCs w:val="80"/>
      <w:lang w:eastAsia="en-US"/>
    </w:rPr>
  </w:style>
  <w:style w:type="paragraph" w:customStyle="1" w:styleId="Heading2NumbersNew">
    <w:name w:val="Heading 2 Numbers New"/>
    <w:basedOn w:val="Heading2Num"/>
    <w:link w:val="Heading2NumbersNewChar"/>
    <w:uiPriority w:val="3"/>
    <w:rsid w:val="00011AED"/>
  </w:style>
  <w:style w:type="character" w:customStyle="1" w:styleId="Heading2NewGreenChar">
    <w:name w:val="Heading 2 New Green Char"/>
    <w:basedOn w:val="SubnewChar"/>
    <w:link w:val="Heading2NewGreen"/>
    <w:uiPriority w:val="3"/>
    <w:rsid w:val="00011AED"/>
    <w:rPr>
      <w:rFonts w:ascii="Arial" w:hAnsi="Arial" w:cs="Arial"/>
      <w:b/>
      <w:iCs/>
      <w:color w:val="85898A" w:themeColor="accent6"/>
      <w:lang w:eastAsia="en-US"/>
    </w:rPr>
  </w:style>
  <w:style w:type="paragraph" w:customStyle="1" w:styleId="Heading4New">
    <w:name w:val="Heading 4 New"/>
    <w:basedOn w:val="Heading4"/>
    <w:link w:val="Heading4NewChar"/>
    <w:uiPriority w:val="3"/>
    <w:rsid w:val="00D831AA"/>
  </w:style>
  <w:style w:type="character" w:customStyle="1" w:styleId="Heading2NumChar">
    <w:name w:val="Heading 2 Num Char"/>
    <w:basedOn w:val="Heading2Char"/>
    <w:link w:val="Heading2Num"/>
    <w:uiPriority w:val="1"/>
    <w:rsid w:val="00773FF9"/>
    <w:rPr>
      <w:rFonts w:ascii="Arial" w:hAnsi="Arial" w:cs="Arial"/>
      <w:b/>
      <w:iCs/>
      <w:color w:val="455560" w:themeColor="accent5"/>
      <w:lang w:eastAsia="en-US"/>
    </w:rPr>
  </w:style>
  <w:style w:type="character" w:customStyle="1" w:styleId="Heading2NumbersNewChar">
    <w:name w:val="Heading 2 Numbers New Char"/>
    <w:basedOn w:val="Heading2NumChar"/>
    <w:link w:val="Heading2NumbersNew"/>
    <w:uiPriority w:val="3"/>
    <w:rsid w:val="00011AED"/>
    <w:rPr>
      <w:rFonts w:ascii="Arial" w:hAnsi="Arial" w:cs="Arial"/>
      <w:b/>
      <w:iCs/>
      <w:color w:val="455560" w:themeColor="accent5"/>
      <w:lang w:eastAsia="en-US"/>
    </w:rPr>
  </w:style>
  <w:style w:type="paragraph" w:customStyle="1" w:styleId="Heading4Numbers">
    <w:name w:val="Heading 4 Numbers"/>
    <w:basedOn w:val="Heading3Num"/>
    <w:next w:val="BodyText"/>
    <w:link w:val="Heading4NumbersChar"/>
    <w:uiPriority w:val="3"/>
    <w:qFormat/>
    <w:rsid w:val="00D831AA"/>
    <w:rPr>
      <w:color w:val="455560"/>
    </w:rPr>
  </w:style>
  <w:style w:type="character" w:customStyle="1" w:styleId="Heading4NewChar">
    <w:name w:val="Heading 4 New Char"/>
    <w:basedOn w:val="Heading4Char"/>
    <w:link w:val="Heading4New"/>
    <w:uiPriority w:val="3"/>
    <w:rsid w:val="00D831AA"/>
    <w:rPr>
      <w:rFonts w:ascii="Arial" w:hAnsi="Arial" w:cs="Arial"/>
      <w:b/>
      <w:iCs/>
      <w:color w:val="455560"/>
      <w:lang w:eastAsia="en-US"/>
    </w:rPr>
  </w:style>
  <w:style w:type="character" w:customStyle="1" w:styleId="Heading3NumChar">
    <w:name w:val="Heading 3 Num Char"/>
    <w:basedOn w:val="Heading3Char"/>
    <w:link w:val="Heading3Num"/>
    <w:uiPriority w:val="1"/>
    <w:rsid w:val="00773FF9"/>
    <w:rPr>
      <w:rFonts w:ascii="Arial" w:hAnsi="Arial" w:cs="Arial"/>
      <w:b/>
      <w:iCs/>
      <w:color w:val="85898A" w:themeColor="accent6"/>
      <w:lang w:eastAsia="en-US"/>
    </w:rPr>
  </w:style>
  <w:style w:type="character" w:customStyle="1" w:styleId="Heading4NumbersChar">
    <w:name w:val="Heading 4 Numbers Char"/>
    <w:basedOn w:val="Heading3NumChar"/>
    <w:link w:val="Heading4Numbers"/>
    <w:uiPriority w:val="3"/>
    <w:rsid w:val="00D831AA"/>
    <w:rPr>
      <w:rFonts w:ascii="Arial" w:hAnsi="Arial" w:cs="Arial"/>
      <w:b/>
      <w:iCs/>
      <w:color w:val="455560"/>
      <w:lang w:eastAsia="en-US"/>
    </w:rPr>
  </w:style>
  <w:style w:type="paragraph" w:customStyle="1" w:styleId="BodyTextNew">
    <w:name w:val="Body Text New"/>
    <w:basedOn w:val="BodyText"/>
    <w:link w:val="BodyTextNewChar"/>
    <w:uiPriority w:val="3"/>
    <w:rsid w:val="001346EF"/>
    <w:rPr>
      <w:color w:val="455560"/>
    </w:rPr>
  </w:style>
  <w:style w:type="paragraph" w:customStyle="1" w:styleId="BulletHymansNew">
    <w:name w:val="Bullet Hymans New"/>
    <w:basedOn w:val="BulletHymans"/>
    <w:link w:val="BulletHymansNewChar"/>
    <w:uiPriority w:val="3"/>
    <w:rsid w:val="001346EF"/>
  </w:style>
  <w:style w:type="character" w:customStyle="1" w:styleId="BodyTextNewChar">
    <w:name w:val="Body Text New Char"/>
    <w:basedOn w:val="BodyTextChar"/>
    <w:link w:val="BodyTextNew"/>
    <w:uiPriority w:val="3"/>
    <w:rsid w:val="001346EF"/>
    <w:rPr>
      <w:rFonts w:ascii="Arial" w:eastAsia="Times New Roman" w:hAnsi="Arial" w:cs="Arial"/>
      <w:iCs/>
      <w:color w:val="455560"/>
      <w:sz w:val="20"/>
      <w:szCs w:val="20"/>
    </w:rPr>
  </w:style>
  <w:style w:type="character" w:customStyle="1" w:styleId="BulletHymansChar">
    <w:name w:val="Bullet Hymans Char"/>
    <w:basedOn w:val="DefaultParagraphFont"/>
    <w:link w:val="BulletHymans"/>
    <w:uiPriority w:val="2"/>
    <w:rsid w:val="0031795F"/>
    <w:rPr>
      <w:rFonts w:ascii="Arial" w:hAnsi="Arial" w:cs="Arial"/>
      <w:iCs/>
      <w:color w:val="455560"/>
      <w:lang w:eastAsia="en-US"/>
    </w:rPr>
  </w:style>
  <w:style w:type="character" w:customStyle="1" w:styleId="BulletHymansNewChar">
    <w:name w:val="Bullet Hymans New Char"/>
    <w:basedOn w:val="BulletHymansChar"/>
    <w:link w:val="BulletHymansNew"/>
    <w:uiPriority w:val="3"/>
    <w:rsid w:val="001346EF"/>
    <w:rPr>
      <w:rFonts w:ascii="Arial" w:hAnsi="Arial" w:cs="Arial"/>
      <w:iCs/>
      <w:color w:val="455560"/>
      <w:lang w:eastAsia="en-US"/>
    </w:rPr>
  </w:style>
  <w:style w:type="paragraph" w:customStyle="1" w:styleId="AppendixSubheading">
    <w:name w:val="Appendix Subheading"/>
    <w:basedOn w:val="Subheading"/>
    <w:link w:val="AppendixSubheadingChar"/>
    <w:uiPriority w:val="3"/>
    <w:rsid w:val="00C279EA"/>
  </w:style>
  <w:style w:type="paragraph" w:customStyle="1" w:styleId="TableOfContents">
    <w:name w:val="TableOfContents"/>
    <w:basedOn w:val="TOC1"/>
    <w:link w:val="TableOfContentsChar"/>
    <w:uiPriority w:val="3"/>
    <w:qFormat/>
    <w:rsid w:val="00C279EA"/>
    <w:pPr>
      <w:tabs>
        <w:tab w:val="right" w:pos="9849"/>
        <w:tab w:val="left" w:pos="11656"/>
      </w:tabs>
      <w:ind w:left="-125"/>
    </w:pPr>
    <w:rPr>
      <w:noProof/>
    </w:rPr>
  </w:style>
  <w:style w:type="character" w:customStyle="1" w:styleId="AppendixSubheadingChar">
    <w:name w:val="Appendix Subheading Char"/>
    <w:basedOn w:val="SubheadingChar"/>
    <w:link w:val="AppendixSubheading"/>
    <w:uiPriority w:val="3"/>
    <w:rsid w:val="00C279EA"/>
    <w:rPr>
      <w:rFonts w:ascii="Arial" w:hAnsi="Arial" w:cs="Arial"/>
      <w:b w:val="0"/>
      <w:iCs/>
      <w:color w:val="F2016C" w:themeColor="accent4"/>
      <w:sz w:val="36"/>
      <w:szCs w:val="36"/>
      <w:lang w:eastAsia="en-US"/>
    </w:rPr>
  </w:style>
  <w:style w:type="character" w:customStyle="1" w:styleId="TOC1Char">
    <w:name w:val="TOC 1 Char"/>
    <w:basedOn w:val="DefaultParagraphFont"/>
    <w:link w:val="TOC1"/>
    <w:uiPriority w:val="39"/>
    <w:rsid w:val="001307E4"/>
    <w:rPr>
      <w:rFonts w:ascii="Arial" w:hAnsi="Arial" w:cs="Arial"/>
      <w:iCs/>
      <w:color w:val="455560"/>
    </w:rPr>
  </w:style>
  <w:style w:type="character" w:customStyle="1" w:styleId="TableOfContentsChar">
    <w:name w:val="TableOfContents Char"/>
    <w:basedOn w:val="TOC1Char"/>
    <w:link w:val="TableOfContents"/>
    <w:uiPriority w:val="3"/>
    <w:rsid w:val="00C279EA"/>
    <w:rPr>
      <w:rFonts w:ascii="Arial" w:hAnsi="Arial" w:cs="Arial"/>
      <w:iCs/>
      <w:noProof/>
      <w:color w:val="455560"/>
    </w:rPr>
  </w:style>
  <w:style w:type="paragraph" w:customStyle="1" w:styleId="AppendixTitle">
    <w:name w:val="Appendix Title"/>
    <w:basedOn w:val="TitleNewGrey"/>
    <w:link w:val="AppendixTitleChar"/>
    <w:uiPriority w:val="3"/>
    <w:qFormat/>
    <w:rsid w:val="0031795F"/>
  </w:style>
  <w:style w:type="character" w:customStyle="1" w:styleId="AppendixTitleChar">
    <w:name w:val="Appendix Title Char"/>
    <w:basedOn w:val="TitleNewGreyChar"/>
    <w:link w:val="AppendixTitle"/>
    <w:uiPriority w:val="3"/>
    <w:rsid w:val="0031795F"/>
    <w:rPr>
      <w:rFonts w:ascii="Times LT" w:hAnsi="Times LT" w:cs="Arial"/>
      <w:iCs/>
      <w:caps w:val="0"/>
      <w:snapToGrid/>
      <w:color w:val="455560"/>
      <w:sz w:val="80"/>
      <w:szCs w:val="80"/>
      <w:lang w:eastAsia="en-US"/>
    </w:rPr>
  </w:style>
  <w:style w:type="character" w:customStyle="1" w:styleId="HeaderTextBlue">
    <w:name w:val="Header Text Blue"/>
    <w:uiPriority w:val="1"/>
    <w:qFormat/>
    <w:rsid w:val="004D2949"/>
    <w:rPr>
      <w:rFonts w:ascii="Arial" w:hAnsi="Arial"/>
      <w:b w:val="0"/>
      <w:i w:val="0"/>
      <w:caps w:val="0"/>
      <w:smallCaps w:val="0"/>
      <w:strike w:val="0"/>
      <w:dstrike w:val="0"/>
      <w:vanish w:val="0"/>
      <w:color w:val="FFFFFF" w:themeColor="text1"/>
      <w:sz w:val="20"/>
      <w:u w:val="none"/>
      <w:vertAlign w:val="baseline"/>
    </w:rPr>
  </w:style>
  <w:style w:type="character" w:customStyle="1" w:styleId="HeaderTextGrey">
    <w:name w:val="Header Text Grey"/>
    <w:uiPriority w:val="1"/>
    <w:qFormat/>
    <w:rsid w:val="004D2949"/>
    <w:rPr>
      <w:rFonts w:ascii="Arial" w:hAnsi="Arial"/>
      <w:caps/>
      <w:color w:val="455560"/>
      <w:sz w:val="20"/>
    </w:rPr>
  </w:style>
  <w:style w:type="paragraph" w:customStyle="1" w:styleId="CoverDate">
    <w:name w:val="Cover Date"/>
    <w:basedOn w:val="Subheading"/>
    <w:link w:val="CoverDateChar"/>
    <w:uiPriority w:val="3"/>
    <w:rsid w:val="00C03A0D"/>
    <w:pPr>
      <w:framePr w:hSpace="180" w:wrap="around" w:vAnchor="text" w:hAnchor="margin" w:y="6"/>
    </w:pPr>
    <w:rPr>
      <w:color w:val="455560"/>
      <w:sz w:val="24"/>
    </w:rPr>
  </w:style>
  <w:style w:type="character" w:customStyle="1" w:styleId="CoverDateChar">
    <w:name w:val="Cover Date Char"/>
    <w:basedOn w:val="SubheadingChar"/>
    <w:link w:val="CoverDate"/>
    <w:uiPriority w:val="3"/>
    <w:rsid w:val="00C03A0D"/>
    <w:rPr>
      <w:rFonts w:ascii="Arial" w:hAnsi="Arial" w:cs="Arial"/>
      <w:b w:val="0"/>
      <w:iCs/>
      <w:color w:val="455560"/>
      <w:sz w:val="24"/>
      <w:szCs w:val="36"/>
      <w:lang w:eastAsia="en-US"/>
    </w:rPr>
  </w:style>
  <w:style w:type="character" w:styleId="CommentReference">
    <w:name w:val="annotation reference"/>
    <w:basedOn w:val="DefaultParagraphFont"/>
    <w:uiPriority w:val="99"/>
    <w:semiHidden/>
    <w:unhideWhenUsed/>
    <w:rsid w:val="00951E8F"/>
    <w:rPr>
      <w:sz w:val="16"/>
      <w:szCs w:val="16"/>
    </w:rPr>
  </w:style>
  <w:style w:type="paragraph" w:styleId="CommentText">
    <w:name w:val="annotation text"/>
    <w:basedOn w:val="Normal"/>
    <w:link w:val="CommentTextChar"/>
    <w:autoRedefine/>
    <w:uiPriority w:val="99"/>
    <w:unhideWhenUsed/>
    <w:rsid w:val="00341E11"/>
    <w:pPr>
      <w:spacing w:line="240" w:lineRule="auto"/>
    </w:pPr>
    <w:rPr>
      <w:color w:val="auto"/>
    </w:rPr>
  </w:style>
  <w:style w:type="character" w:customStyle="1" w:styleId="CommentTextChar">
    <w:name w:val="Comment Text Char"/>
    <w:basedOn w:val="DefaultParagraphFont"/>
    <w:link w:val="CommentText"/>
    <w:uiPriority w:val="99"/>
    <w:rsid w:val="00341E11"/>
    <w:rPr>
      <w:rFonts w:ascii="Arial" w:hAnsi="Arial" w:cs="Arial"/>
      <w:iCs/>
    </w:rPr>
  </w:style>
  <w:style w:type="paragraph" w:styleId="CommentSubject">
    <w:name w:val="annotation subject"/>
    <w:basedOn w:val="CommentText"/>
    <w:next w:val="CommentText"/>
    <w:link w:val="CommentSubjectChar"/>
    <w:uiPriority w:val="99"/>
    <w:semiHidden/>
    <w:unhideWhenUsed/>
    <w:rsid w:val="00151C95"/>
    <w:rPr>
      <w:b/>
      <w:bCs/>
    </w:rPr>
  </w:style>
  <w:style w:type="character" w:customStyle="1" w:styleId="CommentSubjectChar">
    <w:name w:val="Comment Subject Char"/>
    <w:basedOn w:val="CommentTextChar"/>
    <w:link w:val="CommentSubject"/>
    <w:uiPriority w:val="99"/>
    <w:semiHidden/>
    <w:rsid w:val="00151C95"/>
    <w:rPr>
      <w:rFonts w:ascii="Arial" w:hAnsi="Arial" w:cs="Arial"/>
      <w:b/>
      <w:bCs/>
      <w:iCs/>
      <w:color w:val="FFFFFF" w:themeColor="text1"/>
    </w:rPr>
  </w:style>
  <w:style w:type="character" w:styleId="FollowedHyperlink">
    <w:name w:val="FollowedHyperlink"/>
    <w:basedOn w:val="DefaultParagraphFont"/>
    <w:uiPriority w:val="99"/>
    <w:semiHidden/>
    <w:unhideWhenUsed/>
    <w:rsid w:val="00F63F3F"/>
    <w:rPr>
      <w:color w:val="6EC040" w:themeColor="followedHyperlink"/>
      <w:u w:val="single"/>
    </w:rPr>
  </w:style>
  <w:style w:type="character" w:styleId="UnresolvedMention">
    <w:name w:val="Unresolved Mention"/>
    <w:basedOn w:val="DefaultParagraphFont"/>
    <w:uiPriority w:val="99"/>
    <w:semiHidden/>
    <w:unhideWhenUsed/>
    <w:rsid w:val="00C43446"/>
    <w:rPr>
      <w:color w:val="605E5C"/>
      <w:shd w:val="clear" w:color="auto" w:fill="E1DFDD"/>
    </w:rPr>
  </w:style>
  <w:style w:type="paragraph" w:styleId="TOCHeading">
    <w:name w:val="TOC Heading"/>
    <w:basedOn w:val="Heading1"/>
    <w:next w:val="Normal"/>
    <w:uiPriority w:val="39"/>
    <w:unhideWhenUsed/>
    <w:qFormat/>
    <w:rsid w:val="005D379F"/>
    <w:pPr>
      <w:spacing w:before="240" w:after="0" w:line="259" w:lineRule="auto"/>
      <w:outlineLvl w:val="9"/>
    </w:pPr>
    <w:rPr>
      <w:rFonts w:asciiTheme="majorHAnsi" w:eastAsiaTheme="majorEastAsia" w:hAnsiTheme="majorHAnsi" w:cstheme="majorBidi"/>
      <w:color w:val="2A7E9D" w:themeColor="accent1" w:themeShade="BF"/>
      <w:kern w:val="0"/>
      <w:sz w:val="32"/>
      <w:szCs w:val="32"/>
      <w:lang w:val="en-US"/>
    </w:rPr>
  </w:style>
  <w:style w:type="paragraph" w:styleId="Revision">
    <w:name w:val="Revision"/>
    <w:hidden/>
    <w:uiPriority w:val="99"/>
    <w:semiHidden/>
    <w:rsid w:val="00902582"/>
    <w:pPr>
      <w:spacing w:before="0" w:after="0"/>
    </w:pPr>
    <w:rPr>
      <w:rFonts w:ascii="Arial" w:hAnsi="Arial" w:cs="Arial"/>
      <w:iCs/>
      <w:color w:val="FFFFFF" w:themeColor="text1"/>
    </w:rPr>
  </w:style>
  <w:style w:type="character" w:customStyle="1" w:styleId="fontstyle01">
    <w:name w:val="fontstyle01"/>
    <w:basedOn w:val="DefaultParagraphFont"/>
    <w:rsid w:val="00BE64C2"/>
    <w:rPr>
      <w:rFonts w:ascii="FSLola-Bold" w:hAnsi="FSLola-Bold" w:hint="default"/>
      <w:b/>
      <w:bCs/>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778997">
      <w:bodyDiv w:val="1"/>
      <w:marLeft w:val="0"/>
      <w:marRight w:val="0"/>
      <w:marTop w:val="0"/>
      <w:marBottom w:val="0"/>
      <w:divBdr>
        <w:top w:val="none" w:sz="0" w:space="0" w:color="auto"/>
        <w:left w:val="none" w:sz="0" w:space="0" w:color="auto"/>
        <w:bottom w:val="none" w:sz="0" w:space="0" w:color="auto"/>
        <w:right w:val="none" w:sz="0" w:space="0" w:color="auto"/>
      </w:divBdr>
    </w:div>
    <w:div w:id="44337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gpsregs.org/schemeregs/lgpsregs2013/timeline.ph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ssi/2018/141/regulation/6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HR Colour">
  <a:themeElements>
    <a:clrScheme name="Custom 1">
      <a:dk1>
        <a:srgbClr val="FFFFFF"/>
      </a:dk1>
      <a:lt1>
        <a:srgbClr val="44546A"/>
      </a:lt1>
      <a:dk2>
        <a:srgbClr val="FFFFFF"/>
      </a:dk2>
      <a:lt2>
        <a:srgbClr val="44546A"/>
      </a:lt2>
      <a:accent1>
        <a:srgbClr val="3FA6CC"/>
      </a:accent1>
      <a:accent2>
        <a:srgbClr val="6EC040"/>
      </a:accent2>
      <a:accent3>
        <a:srgbClr val="FDC82F"/>
      </a:accent3>
      <a:accent4>
        <a:srgbClr val="F2016C"/>
      </a:accent4>
      <a:accent5>
        <a:srgbClr val="455560"/>
      </a:accent5>
      <a:accent6>
        <a:srgbClr val="85898A"/>
      </a:accent6>
      <a:hlink>
        <a:srgbClr val="3FA6CC"/>
      </a:hlink>
      <a:folHlink>
        <a:srgbClr val="6EC040"/>
      </a:folHlink>
    </a:clrScheme>
    <a:fontScheme name="HR Colou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HR Colou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8BF9E972626724682E735BAC3C40610" ma:contentTypeVersion="3" ma:contentTypeDescription="Create a new document." ma:contentTypeScope="" ma:versionID="d379d8a12ffeae06cef4fb07e2c0ca90">
  <xsd:schema xmlns:xsd="http://www.w3.org/2001/XMLSchema" xmlns:xs="http://www.w3.org/2001/XMLSchema" xmlns:p="http://schemas.microsoft.com/office/2006/metadata/properties" xmlns:ns2="6ff8323f-d529-44e3-997a-6f5b485fc6bc" targetNamespace="http://schemas.microsoft.com/office/2006/metadata/properties" ma:root="true" ma:fieldsID="b9e580df6ec4b869bd79170d0d41764a" ns2:_="">
    <xsd:import namespace="6ff8323f-d529-44e3-997a-6f5b485fc6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8323f-d529-44e3-997a-6f5b485fc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C5A2E9-DB9C-4602-BEE9-92E6A4F2F8CC}">
  <ds:schemaRefs>
    <ds:schemaRef ds:uri="http://schemas.microsoft.com/sharepoint/v3/contenttype/forms"/>
  </ds:schemaRefs>
</ds:datastoreItem>
</file>

<file path=customXml/itemProps2.xml><?xml version="1.0" encoding="utf-8"?>
<ds:datastoreItem xmlns:ds="http://schemas.openxmlformats.org/officeDocument/2006/customXml" ds:itemID="{D1C20975-E9D2-4464-9512-61919EDBB75C}">
  <ds:schemaRefs>
    <ds:schemaRef ds:uri="http://purl.org/dc/terms/"/>
    <ds:schemaRef ds:uri="http://schemas.microsoft.com/office/2006/metadata/properties"/>
    <ds:schemaRef ds:uri="http://schemas.microsoft.com/office/2006/documentManagement/types"/>
    <ds:schemaRef ds:uri="6ff8323f-d529-44e3-997a-6f5b485fc6bc"/>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864A939-A3D2-4FE8-8540-5A57F811B672}">
  <ds:schemaRefs>
    <ds:schemaRef ds:uri="http://schemas.openxmlformats.org/officeDocument/2006/bibliography"/>
  </ds:schemaRefs>
</ds:datastoreItem>
</file>

<file path=customXml/itemProps4.xml><?xml version="1.0" encoding="utf-8"?>
<ds:datastoreItem xmlns:ds="http://schemas.openxmlformats.org/officeDocument/2006/customXml" ds:itemID="{8852FA86-4921-46F9-B7D0-A214DFA27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8323f-d529-44e3-997a-6f5b485fc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West</dc:creator>
  <cp:lastModifiedBy>Catherine Carruthers</cp:lastModifiedBy>
  <cp:revision>3</cp:revision>
  <cp:lastPrinted>2022-08-04T11:23:00Z</cp:lastPrinted>
  <dcterms:created xsi:type="dcterms:W3CDTF">2024-03-15T10:07:00Z</dcterms:created>
  <dcterms:modified xsi:type="dcterms:W3CDTF">2024-03-15T10:08:00Z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0x010100D8BF9E972626724682E735BAC3C40610</vt:lpwstr>
  </property>
</Properties>
</file>