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884A" w14:textId="0A9CBE9B" w:rsidR="2392F737" w:rsidRDefault="2392F737" w:rsidP="2392F737">
      <w:pPr>
        <w:rPr>
          <w:rFonts w:ascii="Calibri" w:hAnsi="Calibri" w:cs="Calibri"/>
          <w:b/>
          <w:bCs/>
          <w:color w:val="FF0000"/>
        </w:rPr>
      </w:pPr>
      <w:r w:rsidRPr="2392F737">
        <w:rPr>
          <w:rFonts w:ascii="Calibri" w:hAnsi="Calibri" w:cs="Calibri"/>
          <w:b/>
          <w:bCs/>
          <w:color w:val="FF0000"/>
        </w:rPr>
        <w:t xml:space="preserve">Under embargo until 00.01 GMT / 01.01 CET Wednesday 8 January / 19.01 ET Tuesday 7 January </w:t>
      </w:r>
    </w:p>
    <w:p w14:paraId="10A13DE3" w14:textId="35762534" w:rsidR="007C2E75" w:rsidRPr="007C2E75" w:rsidRDefault="496FE7FB" w:rsidP="496FE7FB">
      <w:pPr>
        <w:rPr>
          <w:rFonts w:ascii="Calibri" w:hAnsi="Calibri" w:cs="Calibri"/>
          <w:b/>
          <w:bCs/>
          <w:color w:val="000000" w:themeColor="text1"/>
        </w:rPr>
      </w:pPr>
      <w:r w:rsidRPr="496FE7FB">
        <w:rPr>
          <w:rFonts w:ascii="Calibri" w:hAnsi="Calibri" w:cs="Calibri"/>
          <w:b/>
          <w:bCs/>
          <w:color w:val="000000" w:themeColor="text1"/>
        </w:rPr>
        <w:t>Shareholder resolution at Barclays puts climate crisis centre stage for European banking sector in 2020</w:t>
      </w:r>
    </w:p>
    <w:p w14:paraId="7023B3F1" w14:textId="5C5C6A44" w:rsidR="00C4648F" w:rsidRDefault="00C4648F" w:rsidP="00ED6630">
      <w:r>
        <w:t xml:space="preserve">Today </w:t>
      </w:r>
      <w:r w:rsidR="00C052B5">
        <w:t>a group of shareholders</w:t>
      </w:r>
      <w:r w:rsidR="009345C0">
        <w:t xml:space="preserve">, coordinated by </w:t>
      </w:r>
      <w:proofErr w:type="spellStart"/>
      <w:r w:rsidR="009345C0">
        <w:t>ShareAction</w:t>
      </w:r>
      <w:proofErr w:type="spellEnd"/>
      <w:r w:rsidR="009345C0">
        <w:t>,</w:t>
      </w:r>
      <w:r w:rsidR="00C052B5">
        <w:t xml:space="preserve"> </w:t>
      </w:r>
      <w:r w:rsidR="003D1E4A">
        <w:t xml:space="preserve">have </w:t>
      </w:r>
      <w:r w:rsidR="009345C0">
        <w:t>taken formal action at Barclays</w:t>
      </w:r>
      <w:r w:rsidR="004C1957">
        <w:t>,</w:t>
      </w:r>
      <w:r w:rsidR="00D0375E">
        <w:t xml:space="preserve"> </w:t>
      </w:r>
      <w:r w:rsidR="00C052B5">
        <w:t xml:space="preserve">asking the bank </w:t>
      </w:r>
      <w:r>
        <w:t xml:space="preserve">to </w:t>
      </w:r>
      <w:r w:rsidR="0090673C">
        <w:t xml:space="preserve">phase out its </w:t>
      </w:r>
      <w:r w:rsidR="00C052B5">
        <w:t>financing</w:t>
      </w:r>
      <w:r w:rsidR="0090673C">
        <w:t xml:space="preserve"> of</w:t>
      </w:r>
      <w:r w:rsidR="00C052B5" w:rsidRPr="00C052B5">
        <w:t xml:space="preserve"> </w:t>
      </w:r>
      <w:r w:rsidR="0090673C">
        <w:t xml:space="preserve">fossil fuel companies </w:t>
      </w:r>
      <w:r w:rsidR="00C052B5" w:rsidRPr="00C052B5">
        <w:t xml:space="preserve">that are </w:t>
      </w:r>
      <w:r w:rsidR="00185879">
        <w:t xml:space="preserve">active agents in </w:t>
      </w:r>
      <w:r w:rsidR="00B30036">
        <w:t xml:space="preserve">driving </w:t>
      </w:r>
      <w:r w:rsidR="00185879">
        <w:t xml:space="preserve">the climate </w:t>
      </w:r>
      <w:r w:rsidR="00B30036">
        <w:t>crisis.</w:t>
      </w:r>
    </w:p>
    <w:p w14:paraId="73D2985A" w14:textId="017647DD" w:rsidR="006E798B" w:rsidRDefault="2392F737" w:rsidP="00ED6630">
      <w:r>
        <w:t xml:space="preserve">11 institutional investors managing over £130bn including Brunel Pension Partnership, LGPS Central, Sarasin &amp; Partners and </w:t>
      </w:r>
      <w:proofErr w:type="spellStart"/>
      <w:r>
        <w:t>Folksam</w:t>
      </w:r>
      <w:proofErr w:type="spellEnd"/>
      <w:r>
        <w:t xml:space="preserve"> Investors have filed a shareholder resolution at Barclays alongside over 100 individual shareholders, led by </w:t>
      </w:r>
      <w:proofErr w:type="spellStart"/>
      <w:r>
        <w:t>ShareAction</w:t>
      </w:r>
      <w:proofErr w:type="spellEnd"/>
      <w:r>
        <w:t xml:space="preserve">, the responsible investment charity. It will be voted on by investors at Barclays’ annual general meeting in May 2020. </w:t>
      </w:r>
    </w:p>
    <w:p w14:paraId="06FBD1EB" w14:textId="39323508" w:rsidR="00C34B8B" w:rsidRDefault="00C424CE" w:rsidP="00ED6630">
      <w:r>
        <w:t>This landmark</w:t>
      </w:r>
      <w:r w:rsidR="000D0209">
        <w:t xml:space="preserve"> resolution </w:t>
      </w:r>
      <w:r w:rsidR="00C34B8B">
        <w:t>– the first</w:t>
      </w:r>
      <w:r w:rsidR="00E762CE">
        <w:t xml:space="preserve"> climate change resolution filed at a European </w:t>
      </w:r>
      <w:r w:rsidR="00C34B8B">
        <w:t xml:space="preserve">bank – </w:t>
      </w:r>
      <w:r w:rsidR="000D0209">
        <w:t xml:space="preserve">requests that </w:t>
      </w:r>
      <w:r>
        <w:t>Barclays</w:t>
      </w:r>
      <w:r w:rsidR="000D0209">
        <w:t xml:space="preserve"> </w:t>
      </w:r>
      <w:r w:rsidR="00F3618B">
        <w:t>publishes a plan to gradually stop</w:t>
      </w:r>
      <w:r w:rsidR="000D0209">
        <w:t xml:space="preserve"> the provision of financial services</w:t>
      </w:r>
      <w:r w:rsidR="004C1957">
        <w:t xml:space="preserve"> (</w:t>
      </w:r>
      <w:r w:rsidR="003D1E4A">
        <w:t xml:space="preserve">including </w:t>
      </w:r>
      <w:r w:rsidR="003D1E4A" w:rsidRPr="003D1E4A">
        <w:t>project finance, corporate finance, and underwriting</w:t>
      </w:r>
      <w:r w:rsidR="004C1957">
        <w:t>)</w:t>
      </w:r>
      <w:r w:rsidR="000D0209">
        <w:t xml:space="preserve"> to</w:t>
      </w:r>
      <w:r w:rsidR="00D0375E">
        <w:t xml:space="preserve"> companies in the energy sector</w:t>
      </w:r>
      <w:r w:rsidR="004C1957">
        <w:t>,</w:t>
      </w:r>
      <w:r w:rsidR="00D0375E">
        <w:t xml:space="preserve"> and to</w:t>
      </w:r>
      <w:r w:rsidR="000D0209">
        <w:t xml:space="preserve"> </w:t>
      </w:r>
      <w:r w:rsidR="003D1E4A">
        <w:t xml:space="preserve">gas and electric </w:t>
      </w:r>
      <w:r w:rsidR="00313535">
        <w:t>utilities</w:t>
      </w:r>
      <w:r w:rsidR="00D0375E">
        <w:t xml:space="preserve"> </w:t>
      </w:r>
      <w:r w:rsidR="0090673C">
        <w:t>that are not</w:t>
      </w:r>
      <w:r w:rsidR="00F1711B">
        <w:t xml:space="preserve"> </w:t>
      </w:r>
      <w:r w:rsidR="000F1790">
        <w:t>align</w:t>
      </w:r>
      <w:r w:rsidR="0090673C">
        <w:t>ed</w:t>
      </w:r>
      <w:r>
        <w:t xml:space="preserve"> with the </w:t>
      </w:r>
      <w:r w:rsidR="003975B5">
        <w:t xml:space="preserve">goals of the </w:t>
      </w:r>
      <w:r>
        <w:t xml:space="preserve">Paris </w:t>
      </w:r>
      <w:r w:rsidR="0090673C">
        <w:t>climate a</w:t>
      </w:r>
      <w:r w:rsidR="00C34B8B">
        <w:t>greement</w:t>
      </w:r>
      <w:r w:rsidR="00612083">
        <w:t>.</w:t>
      </w:r>
    </w:p>
    <w:p w14:paraId="2BE55CD0" w14:textId="0522FE42" w:rsidR="00C05DE1" w:rsidRDefault="496FE7FB" w:rsidP="00ED6630">
      <w:r>
        <w:t xml:space="preserve">Since the Paris Agreement was signed in 2015, Barclays has provided more than US </w:t>
      </w:r>
      <w:hyperlink r:id="rId10">
        <w:r w:rsidRPr="496FE7FB">
          <w:rPr>
            <w:rStyle w:val="Hyperlink"/>
          </w:rPr>
          <w:t>$85 billion of finance</w:t>
        </w:r>
      </w:hyperlink>
      <w:r>
        <w:t xml:space="preserve"> to fossil fuel companies and high-carbon projects such as tar sands and Arctic oil and gas. This makes it the </w:t>
      </w:r>
      <w:hyperlink r:id="rId11">
        <w:r w:rsidRPr="496FE7FB">
          <w:rPr>
            <w:rStyle w:val="Hyperlink"/>
          </w:rPr>
          <w:t>world’s sixth largest backer of fossil fuels</w:t>
        </w:r>
      </w:hyperlink>
      <w:r>
        <w:t>, and constitutes the highest level of fossil fuel financing of any European bank, exceeding its peers by over US$27 billion.</w:t>
      </w:r>
    </w:p>
    <w:p w14:paraId="344B5DFE" w14:textId="01B41B1E" w:rsidR="496FE7FB" w:rsidRDefault="342DFCCD" w:rsidP="496FE7FB">
      <w:pPr>
        <w:rPr>
          <w:highlight w:val="yellow"/>
        </w:rPr>
      </w:pPr>
      <w:r>
        <w:t xml:space="preserve">In May 2019 a group of </w:t>
      </w:r>
      <w:hyperlink r:id="rId12">
        <w:r w:rsidRPr="342DFCCD">
          <w:rPr>
            <w:rStyle w:val="Hyperlink"/>
          </w:rPr>
          <w:t xml:space="preserve">Barclays' investors backed a letter from </w:t>
        </w:r>
        <w:proofErr w:type="spellStart"/>
        <w:r w:rsidRPr="342DFCCD">
          <w:rPr>
            <w:rStyle w:val="Hyperlink"/>
          </w:rPr>
          <w:t>ShareAction</w:t>
        </w:r>
        <w:proofErr w:type="spellEnd"/>
      </w:hyperlink>
      <w:r>
        <w:t xml:space="preserve"> to the bank asking it to stop funding companies involved in coal mining or oil sands exploitation.</w:t>
      </w:r>
    </w:p>
    <w:p w14:paraId="24BB0D27" w14:textId="44ACDED5" w:rsidR="000D0209" w:rsidRDefault="00C34B8B" w:rsidP="00ED6630">
      <w:r>
        <w:t xml:space="preserve">The proposal also encourages Barclays to </w:t>
      </w:r>
      <w:r w:rsidR="00A256FC">
        <w:t>consider the</w:t>
      </w:r>
      <w:r w:rsidR="007A182A">
        <w:t xml:space="preserve"> </w:t>
      </w:r>
      <w:r w:rsidR="00750647">
        <w:t>social dimension</w:t>
      </w:r>
      <w:r w:rsidR="004C1957">
        <w:t xml:space="preserve"> of</w:t>
      </w:r>
      <w:r w:rsidR="00A256FC">
        <w:t xml:space="preserve"> </w:t>
      </w:r>
      <w:r w:rsidR="00266E70">
        <w:t xml:space="preserve">the </w:t>
      </w:r>
      <w:r w:rsidR="007A182A">
        <w:t xml:space="preserve">transition to a resilient and low-carbon economy, </w:t>
      </w:r>
      <w:r w:rsidR="00AA2570">
        <w:t>as per the Paris Agreement</w:t>
      </w:r>
      <w:r w:rsidR="00A256FC">
        <w:t>.</w:t>
      </w:r>
      <w:r w:rsidR="007A182A">
        <w:t xml:space="preserve"> </w:t>
      </w:r>
      <w:r w:rsidR="00266E70">
        <w:t xml:space="preserve">This makes it the first climate change resolution to include a so-called ‘just transition’ ask in its supporting statement. </w:t>
      </w:r>
      <w:r w:rsidR="00D0375E" w:rsidRPr="00D0375E">
        <w:t xml:space="preserve">Investors representing </w:t>
      </w:r>
      <w:hyperlink r:id="rId13" w:history="1">
        <w:r w:rsidR="00D0375E" w:rsidRPr="00D0375E">
          <w:rPr>
            <w:rStyle w:val="Hyperlink"/>
          </w:rPr>
          <w:t>more than US $5 trillion</w:t>
        </w:r>
      </w:hyperlink>
      <w:r w:rsidR="00D0375E" w:rsidRPr="00D0375E">
        <w:t xml:space="preserve"> have </w:t>
      </w:r>
      <w:r w:rsidR="00AA2570">
        <w:t xml:space="preserve">already </w:t>
      </w:r>
      <w:r w:rsidR="00D0375E" w:rsidRPr="00D0375E">
        <w:t>expressed support for the just transition.</w:t>
      </w:r>
      <w:r w:rsidR="00D0375E">
        <w:t xml:space="preserve"> </w:t>
      </w:r>
    </w:p>
    <w:p w14:paraId="3E5B0BFD" w14:textId="53A1F02A" w:rsidR="00176C81" w:rsidRDefault="00176C81" w:rsidP="00ED6630">
      <w:r w:rsidRPr="006E798B">
        <w:t xml:space="preserve">This resolution represents a significant opportunity for Barclays to </w:t>
      </w:r>
      <w:r w:rsidR="00435F9B" w:rsidRPr="006E798B">
        <w:t>bring</w:t>
      </w:r>
      <w:r w:rsidRPr="006E798B">
        <w:t xml:space="preserve"> its lending practices </w:t>
      </w:r>
      <w:r w:rsidR="00435F9B" w:rsidRPr="006E798B">
        <w:t>in line with</w:t>
      </w:r>
      <w:r w:rsidRPr="006E798B">
        <w:t xml:space="preserve"> global climate ambition and play an active role in </w:t>
      </w:r>
      <w:r w:rsidR="004C1957">
        <w:t>accelerating</w:t>
      </w:r>
      <w:r w:rsidRPr="006E798B">
        <w:t xml:space="preserve"> the low-carbon transition.</w:t>
      </w:r>
      <w:r w:rsidR="007453DC">
        <w:t xml:space="preserve"> </w:t>
      </w:r>
    </w:p>
    <w:p w14:paraId="55C94899" w14:textId="4F002D36" w:rsidR="007453DC" w:rsidRPr="007453DC" w:rsidRDefault="496FE7FB" w:rsidP="496FE7FB">
      <w:r>
        <w:t>The resolution is the first in a series of actions in 2020, which will put financial services to the test on climate change in the run up to the UK-hosted COP26 climate talks.</w:t>
      </w:r>
    </w:p>
    <w:p w14:paraId="15307F09" w14:textId="3CA404D0" w:rsidR="137F141B" w:rsidRDefault="2392F737" w:rsidP="137F141B">
      <w:r>
        <w:t>Shareholders filing the resolution have signalled their hope that Barclays board will choose to respond positively by recommending a vote in favour at May's AGM.</w:t>
      </w:r>
    </w:p>
    <w:p w14:paraId="497DC942" w14:textId="410168F1" w:rsidR="2392F737" w:rsidRDefault="2392F737" w:rsidP="2392F737">
      <w:pPr>
        <w:rPr>
          <w:b/>
          <w:bCs/>
        </w:rPr>
      </w:pPr>
      <w:r w:rsidRPr="2392F737">
        <w:rPr>
          <w:b/>
          <w:bCs/>
        </w:rPr>
        <w:t xml:space="preserve">Jeanne Martin, Campaign Manager at </w:t>
      </w:r>
      <w:proofErr w:type="spellStart"/>
      <w:r w:rsidRPr="2392F737">
        <w:rPr>
          <w:b/>
          <w:bCs/>
        </w:rPr>
        <w:t>ShareAction</w:t>
      </w:r>
      <w:proofErr w:type="spellEnd"/>
      <w:r w:rsidRPr="2392F737">
        <w:rPr>
          <w:b/>
          <w:bCs/>
        </w:rPr>
        <w:t>, says: “</w:t>
      </w:r>
      <w:r>
        <w:t>The message is clear: piecemeal changes in energy policy will no longer cut it. For too long, minor policy improvements have provided cover for the banking sector, while failing to halt fossil fuel financing. We know what needs to happen. Banks must align their lending with the science. If Barclays supports the Paris Agreement, it will support this resolution.”</w:t>
      </w:r>
    </w:p>
    <w:p w14:paraId="68998615" w14:textId="750C96AB" w:rsidR="137F141B" w:rsidRDefault="3ED7200B" w:rsidP="137F141B">
      <w:r w:rsidRPr="3ED7200B">
        <w:rPr>
          <w:b/>
          <w:bCs/>
        </w:rPr>
        <w:t xml:space="preserve">Laura Chappell, CEO of Brunel Pension Partnership, which manages £30 billion, says: </w:t>
      </w:r>
      <w:r>
        <w:t xml:space="preserve">“Brunel Pension Partnership Limited (Brunel) believes climate change poses significant risks to global financial stability and could thereby create climate-related financial risks to our own business operations, portfolios and client partner funds, unless action is taken to mitigate these risks.” </w:t>
      </w:r>
    </w:p>
    <w:p w14:paraId="72E9B9C0" w14:textId="00E6005A" w:rsidR="137F141B" w:rsidRDefault="137F141B">
      <w:r>
        <w:t xml:space="preserve">“We believe that it is crucial for investors to carry out climate change risk assessments across the whole financial chain. As banks are the biggest lenders, they are a key component of this. The </w:t>
      </w:r>
      <w:r>
        <w:lastRenderedPageBreak/>
        <w:t xml:space="preserve">lending practices of many banks poses a serious threat to the goals to the Paris agreement. As such, we welcome </w:t>
      </w:r>
      <w:proofErr w:type="spellStart"/>
      <w:r>
        <w:t>ShareAction’s</w:t>
      </w:r>
      <w:proofErr w:type="spellEnd"/>
      <w:r>
        <w:t xml:space="preserve"> call to the world’s largest banks to integrate climate change risk assessment and to set and disclose adequate phase-out targets in response. We hope the Barclays Board formally supports this resolution.”</w:t>
      </w:r>
    </w:p>
    <w:p w14:paraId="66A9D139" w14:textId="543DDD62" w:rsidR="1227DA38" w:rsidRDefault="1227DA38" w:rsidP="1227DA38">
      <w:pPr>
        <w:rPr>
          <w:rFonts w:ascii="Calibri" w:eastAsia="Calibri" w:hAnsi="Calibri" w:cs="Calibri"/>
        </w:rPr>
      </w:pPr>
      <w:r w:rsidRPr="1227DA38">
        <w:rPr>
          <w:rFonts w:ascii="Calibri" w:eastAsia="Calibri" w:hAnsi="Calibri" w:cs="Calibri"/>
          <w:b/>
          <w:bCs/>
        </w:rPr>
        <w:t xml:space="preserve">Natasha </w:t>
      </w:r>
      <w:proofErr w:type="spellStart"/>
      <w:r w:rsidRPr="1227DA38">
        <w:rPr>
          <w:rFonts w:ascii="Calibri" w:eastAsia="Calibri" w:hAnsi="Calibri" w:cs="Calibri"/>
          <w:b/>
          <w:bCs/>
        </w:rPr>
        <w:t>Landell</w:t>
      </w:r>
      <w:proofErr w:type="spellEnd"/>
      <w:r w:rsidRPr="1227DA38">
        <w:rPr>
          <w:rFonts w:ascii="Calibri" w:eastAsia="Calibri" w:hAnsi="Calibri" w:cs="Calibri"/>
          <w:b/>
          <w:bCs/>
        </w:rPr>
        <w:t>-Mills, CFA, Partner, Head of Stewardship at Sarasin &amp; Partners, which manages over £14 billion, says:</w:t>
      </w:r>
      <w:r w:rsidRPr="1227DA38">
        <w:rPr>
          <w:rFonts w:ascii="Calibri" w:eastAsia="Calibri" w:hAnsi="Calibri" w:cs="Calibri"/>
          <w:i/>
          <w:iCs/>
        </w:rPr>
        <w:t xml:space="preserve"> “</w:t>
      </w:r>
      <w:r w:rsidRPr="1227DA38">
        <w:rPr>
          <w:rFonts w:ascii="Calibri" w:eastAsia="Calibri" w:hAnsi="Calibri" w:cs="Calibri"/>
        </w:rPr>
        <w:t xml:space="preserve">Aligning financial flows with the goal of keeping temperature increases well below 2C, and preferably to 1.5C, was hard-wired into the Paris Climate Agreement for good reason. Continued financing of harmful fossil fuel activities puts this target at risk, with potentially devastating consequences for us all. And yet, this is precisely what is happening today, and Barclays is amongst the most prolific bank financiers globally of such activities. </w:t>
      </w:r>
    </w:p>
    <w:p w14:paraId="621972D3" w14:textId="5AFE90EA" w:rsidR="1227DA38" w:rsidRDefault="04FB9A9F" w:rsidP="1227DA38">
      <w:pPr>
        <w:rPr>
          <w:rFonts w:ascii="Calibri" w:eastAsia="Calibri" w:hAnsi="Calibri" w:cs="Calibri"/>
        </w:rPr>
      </w:pPr>
      <w:r w:rsidRPr="04FB9A9F">
        <w:rPr>
          <w:rFonts w:ascii="Calibri" w:eastAsia="Calibri" w:hAnsi="Calibri" w:cs="Calibri"/>
        </w:rPr>
        <w:t>“It is therefore vital that Barclays’ Board ensures that it no longer supports - whether through direct lending or underwriting - any activities that run contrary to the Paris Agreement. Failure to act leaves directors open to charges that they have failed to meet their obligations under the UK Companies Act. It also exposes the bank and its shareholders to heightened capital risks as decarbonisation accelerates. At a time of economic uncertainty, the Board should not be taking on additional risks.</w:t>
      </w:r>
    </w:p>
    <w:p w14:paraId="3461484B" w14:textId="5B34FE66" w:rsidR="04FB9A9F" w:rsidRDefault="2392F737" w:rsidP="04FB9A9F">
      <w:r w:rsidRPr="2392F737">
        <w:rPr>
          <w:b/>
          <w:bCs/>
        </w:rPr>
        <w:t xml:space="preserve">Julian Corner, CEO of </w:t>
      </w:r>
      <w:proofErr w:type="spellStart"/>
      <w:r w:rsidRPr="2392F737">
        <w:rPr>
          <w:b/>
          <w:bCs/>
        </w:rPr>
        <w:t>Lankelly</w:t>
      </w:r>
      <w:proofErr w:type="spellEnd"/>
      <w:r w:rsidRPr="2392F737">
        <w:rPr>
          <w:b/>
          <w:bCs/>
        </w:rPr>
        <w:t xml:space="preserve"> Chase, which manages £153 million, says: </w:t>
      </w:r>
      <w:r>
        <w:t>“Time is running out to prevent global heating of 1.5c above pre-industrial levels, with catastrophic consequences, and it is now imperative that financing for fossil fuels must stop. We therefore urge the Barclays Board and our fellow shareholders to support this resolution at the AGM. Unless Barclays can demonstrate alignment with the Paris Agreement, it can no longer have a place in the portfolios of any responsible investor.”</w:t>
      </w:r>
    </w:p>
    <w:p w14:paraId="5E9A1D0D" w14:textId="159F5538" w:rsidR="1227DA38" w:rsidRDefault="2392F737" w:rsidP="1227DA38">
      <w:r w:rsidRPr="2392F737">
        <w:rPr>
          <w:b/>
          <w:bCs/>
        </w:rPr>
        <w:t>Stephen Power of the Jesuits in Britain, which manages £531 million, says:</w:t>
      </w:r>
      <w:r>
        <w:t xml:space="preserve"> </w:t>
      </w:r>
      <w:r w:rsidRPr="2392F737">
        <w:rPr>
          <w:rFonts w:ascii="Calibri" w:eastAsia="Calibri" w:hAnsi="Calibri" w:cs="Calibri"/>
        </w:rPr>
        <w:t>“Climate change is the most pressing challenge the world faces. The Jesuits in Britain support the resolution to align Barclays with other banks taking steps to meet Paris targets, both in response to the increasing scientific evidence that effects of climate change are accelerating and for reasons of sound business sense. The scale of the challenge means large global banks should do all they can to help avert the severe financial risks that could result from a failure to meet the Paris goals. The resolution seeks to ensure that major energy sector companies take the Paris targets seriously but also that the finance and banking sector do not allow deviation from them.”</w:t>
      </w:r>
    </w:p>
    <w:p w14:paraId="16363685" w14:textId="2A5957D4" w:rsidR="2392F737" w:rsidRDefault="1D782DAD" w:rsidP="2392F737">
      <w:r w:rsidRPr="1D782DAD">
        <w:rPr>
          <w:rFonts w:ascii="Calibri" w:eastAsia="Calibri" w:hAnsi="Calibri" w:cs="Calibri"/>
          <w:b/>
          <w:bCs/>
        </w:rPr>
        <w:t xml:space="preserve">Annette </w:t>
      </w:r>
      <w:proofErr w:type="spellStart"/>
      <w:r w:rsidRPr="1D782DAD">
        <w:rPr>
          <w:rFonts w:ascii="Calibri" w:eastAsia="Calibri" w:hAnsi="Calibri" w:cs="Calibri"/>
          <w:b/>
          <w:bCs/>
        </w:rPr>
        <w:t>Lanjouw</w:t>
      </w:r>
      <w:proofErr w:type="spellEnd"/>
      <w:r w:rsidRPr="1D782DAD">
        <w:rPr>
          <w:rFonts w:ascii="Calibri" w:eastAsia="Calibri" w:hAnsi="Calibri" w:cs="Calibri"/>
          <w:b/>
          <w:bCs/>
        </w:rPr>
        <w:t xml:space="preserve">, Chief Executive Officer of the Arcus Foundation, says: </w:t>
      </w:r>
      <w:r w:rsidRPr="1D782DAD">
        <w:rPr>
          <w:rFonts w:ascii="Calibri" w:eastAsia="Calibri" w:hAnsi="Calibri" w:cs="Calibri"/>
        </w:rPr>
        <w:t>“The climate crisis is an existential threat to all people, non-human animals and habitats – to life as we know it. Financial institutions and investors have the power to mitigate this threat in an impactful way with more conscious, disciplined investing as specified in this resolution. Our hope is that Barclay’s bank will set an example that others will follow and build momentum toward a reversal of the unnecessary and life-threatening decline in the world’s biodiversity.”</w:t>
      </w:r>
    </w:p>
    <w:p w14:paraId="4B754730" w14:textId="27CBE70E" w:rsidR="1D782DAD" w:rsidRDefault="1D782DAD">
      <w:r w:rsidRPr="1D782DAD">
        <w:rPr>
          <w:rFonts w:ascii="Calibri" w:eastAsia="Calibri" w:hAnsi="Calibri" w:cs="Calibri"/>
          <w:b/>
          <w:bCs/>
        </w:rPr>
        <w:t xml:space="preserve">Danielle </w:t>
      </w:r>
      <w:proofErr w:type="spellStart"/>
      <w:r w:rsidRPr="1D782DAD">
        <w:rPr>
          <w:rFonts w:ascii="Calibri" w:eastAsia="Calibri" w:hAnsi="Calibri" w:cs="Calibri"/>
          <w:b/>
          <w:bCs/>
        </w:rPr>
        <w:t>Fugere</w:t>
      </w:r>
      <w:proofErr w:type="spellEnd"/>
      <w:r w:rsidRPr="1D782DAD">
        <w:rPr>
          <w:rFonts w:ascii="Calibri" w:eastAsia="Calibri" w:hAnsi="Calibri" w:cs="Calibri"/>
          <w:b/>
          <w:bCs/>
        </w:rPr>
        <w:t>, President of shareholder representative As You Sow, says:</w:t>
      </w:r>
      <w:r w:rsidRPr="1D782DAD">
        <w:rPr>
          <w:rFonts w:ascii="Calibri" w:eastAsia="Calibri" w:hAnsi="Calibri" w:cs="Calibri"/>
          <w:lang w:val="en-US"/>
        </w:rPr>
        <w:t xml:space="preserve">  “Shareholders are asking Barclays to immediately begin reducing its funding to the projects and companies that are causing catastrophic global warming and increasing risk to people, the planet, and investors’ portfolios. This is not a chicken</w:t>
      </w:r>
      <w:r w:rsidRPr="1D782DAD">
        <w:rPr>
          <w:rFonts w:ascii="Calibri" w:eastAsia="Calibri" w:hAnsi="Calibri" w:cs="Calibri"/>
          <w:color w:val="1F497D"/>
          <w:lang w:val="en-US"/>
        </w:rPr>
        <w:t>-</w:t>
      </w:r>
      <w:r w:rsidRPr="1D782DAD">
        <w:rPr>
          <w:rFonts w:ascii="Calibri" w:eastAsia="Calibri" w:hAnsi="Calibri" w:cs="Calibri"/>
          <w:lang w:val="en-US"/>
        </w:rPr>
        <w:t>and</w:t>
      </w:r>
      <w:r w:rsidRPr="1D782DAD">
        <w:rPr>
          <w:rFonts w:ascii="Calibri" w:eastAsia="Calibri" w:hAnsi="Calibri" w:cs="Calibri"/>
          <w:color w:val="1F497D"/>
          <w:lang w:val="en-US"/>
        </w:rPr>
        <w:t>-</w:t>
      </w:r>
      <w:r w:rsidRPr="1D782DAD">
        <w:rPr>
          <w:rFonts w:ascii="Calibri" w:eastAsia="Calibri" w:hAnsi="Calibri" w:cs="Calibri"/>
          <w:lang w:val="en-US"/>
        </w:rPr>
        <w:t>egg situation; we cannot realistically expect change from high emitters while unfettered funds continue to flow to them. Hard decisions are called for by both companies and banks and we hope that Barclays joins other global banks in signaling dramatic change by aligning its funding decisions with the Paris Agreement’s goal of maintaining global temperature rise well below 2 degrees Celsius.”</w:t>
      </w:r>
    </w:p>
    <w:p w14:paraId="010565DF" w14:textId="656136E2" w:rsidR="342DFCCD" w:rsidRDefault="2392F737">
      <w:r>
        <w:lastRenderedPageBreak/>
        <w:t>Given the systemic threats posed by climate change, and the rising regulatory scrutiny of banks’ resilience to accelerated decarbonisation and climatic impacts, this resolution supports the long-term economic interest of shareholders.</w:t>
      </w:r>
    </w:p>
    <w:p w14:paraId="79326F9F" w14:textId="53D92671" w:rsidR="342DFCCD" w:rsidRDefault="342DFCCD">
      <w:r>
        <w:t>While the implementation of the resolution would be a matter for the Board of the company, the co-filers of this resolution expect disclosure on the criteria and processes Barclays puts in place for determining whether a borrower is meeting Paris Agreement targets.</w:t>
      </w:r>
    </w:p>
    <w:p w14:paraId="22BF9C36" w14:textId="4711CF21" w:rsidR="0090673C" w:rsidRPr="007453DC" w:rsidRDefault="0090673C" w:rsidP="00ED6630">
      <w:pPr>
        <w:rPr>
          <w:b/>
        </w:rPr>
      </w:pPr>
      <w:r w:rsidRPr="007453DC">
        <w:rPr>
          <w:b/>
        </w:rPr>
        <w:t>ENDS</w:t>
      </w:r>
    </w:p>
    <w:p w14:paraId="1E9F03D8" w14:textId="5ACC07FB" w:rsidR="00DB0A64" w:rsidRPr="00B41043" w:rsidRDefault="00DB0A64" w:rsidP="00ED6630">
      <w:r>
        <w:rPr>
          <w:b/>
        </w:rPr>
        <w:t>Notes to editors:</w:t>
      </w:r>
    </w:p>
    <w:p w14:paraId="758436BF" w14:textId="7775F6E4" w:rsidR="00DB0A64" w:rsidRPr="0028684C" w:rsidRDefault="07FF1DCC" w:rsidP="00DB0A64">
      <w:pPr>
        <w:pStyle w:val="ListParagraph"/>
        <w:numPr>
          <w:ilvl w:val="0"/>
          <w:numId w:val="2"/>
        </w:numPr>
      </w:pPr>
      <w:r>
        <w:t xml:space="preserve">For more information, please contact Beau O’Sullivan at </w:t>
      </w:r>
      <w:hyperlink r:id="rId14">
        <w:r w:rsidRPr="07FF1DCC">
          <w:rPr>
            <w:rStyle w:val="Hyperlink"/>
          </w:rPr>
          <w:t>beau.osullivan@shareaction.org</w:t>
        </w:r>
      </w:hyperlink>
      <w:r w:rsidRPr="07FF1DCC">
        <w:rPr>
          <w:rStyle w:val="Hyperlink"/>
          <w:u w:val="none"/>
        </w:rPr>
        <w:t xml:space="preserve"> </w:t>
      </w:r>
      <w:r w:rsidRPr="07FF1DCC">
        <w:rPr>
          <w:rStyle w:val="Hyperlink"/>
          <w:color w:val="auto"/>
          <w:u w:val="none"/>
        </w:rPr>
        <w:t xml:space="preserve">or </w:t>
      </w:r>
      <w:r w:rsidRPr="0028684C">
        <w:rPr>
          <w:rStyle w:val="Hyperlink"/>
        </w:rPr>
        <w:t>+44 203 475 7859</w:t>
      </w:r>
    </w:p>
    <w:p w14:paraId="0AF8A143" w14:textId="4954ECB8" w:rsidR="00DB0A64" w:rsidRPr="0028684C" w:rsidRDefault="07FF1DCC" w:rsidP="07FF1DCC">
      <w:pPr>
        <w:pStyle w:val="ListParagraph"/>
        <w:numPr>
          <w:ilvl w:val="0"/>
          <w:numId w:val="2"/>
        </w:numPr>
      </w:pPr>
      <w:r w:rsidRPr="0028684C">
        <w:t>The full text of the resolution and supporting statement can be sent on request.</w:t>
      </w:r>
    </w:p>
    <w:p w14:paraId="304876FC" w14:textId="547BC3BA" w:rsidR="007453DC" w:rsidRDefault="342DFCCD" w:rsidP="07FF1DCC">
      <w:pPr>
        <w:pStyle w:val="ListParagraph"/>
        <w:numPr>
          <w:ilvl w:val="0"/>
          <w:numId w:val="2"/>
        </w:numPr>
        <w:rPr>
          <w:color w:val="000000" w:themeColor="text1"/>
        </w:rPr>
      </w:pPr>
      <w:r w:rsidRPr="0028684C">
        <w:t>The</w:t>
      </w:r>
      <w:r>
        <w:t xml:space="preserve"> 11 institutional investors who co-filed this resolution are the following: Arcus Foundation, As You Sow, Brunel Pension Partnership, the Central Board of the Methodist Churc</w:t>
      </w:r>
      <w:r w:rsidRPr="07FF1DCC">
        <w:t xml:space="preserve">h, Falkirk Council Pension Fund, </w:t>
      </w:r>
      <w:proofErr w:type="spellStart"/>
      <w:r w:rsidRPr="07FF1DCC">
        <w:t>Folksam</w:t>
      </w:r>
      <w:proofErr w:type="spellEnd"/>
      <w:r w:rsidRPr="07FF1DCC">
        <w:t xml:space="preserve">, Jesuits in Britain, </w:t>
      </w:r>
      <w:proofErr w:type="spellStart"/>
      <w:r w:rsidRPr="07FF1DCC">
        <w:t>Lankelly</w:t>
      </w:r>
      <w:proofErr w:type="spellEnd"/>
      <w:r w:rsidRPr="07FF1DCC">
        <w:t xml:space="preserve"> Chase, LGPS Central, Merseyside Pension Fund, and Sarasin &amp; Partners.</w:t>
      </w:r>
    </w:p>
    <w:p w14:paraId="51BF9FFE" w14:textId="09B4CE81" w:rsidR="07FF1DCC" w:rsidRDefault="07FF1DCC" w:rsidP="07FF1DCC">
      <w:pPr>
        <w:pStyle w:val="ListParagraph"/>
        <w:numPr>
          <w:ilvl w:val="0"/>
          <w:numId w:val="2"/>
        </w:numPr>
        <w:rPr>
          <w:color w:val="000000" w:themeColor="text1"/>
        </w:rPr>
      </w:pPr>
      <w:r w:rsidRPr="07FF1DCC">
        <w:t>The Association of Ethical Shareholders Germany, a co-filer of the resolution, manages the voting rights of 1000 retail shareholders.</w:t>
      </w:r>
    </w:p>
    <w:p w14:paraId="0C79E641" w14:textId="77777777" w:rsidR="007453DC" w:rsidRDefault="00800C7A" w:rsidP="07FF1DCC">
      <w:pPr>
        <w:pStyle w:val="ListParagraph"/>
        <w:numPr>
          <w:ilvl w:val="0"/>
          <w:numId w:val="2"/>
        </w:numPr>
      </w:pPr>
      <w:r w:rsidRPr="07FF1DCC">
        <w:t>Barclays’ board will issue its voting recommendation on this resolution in its notice for the annual general meeting</w:t>
      </w:r>
      <w:r>
        <w:t xml:space="preserve">. </w:t>
      </w:r>
    </w:p>
    <w:p w14:paraId="06564A82" w14:textId="7A0E2A4E" w:rsidR="007453DC" w:rsidRDefault="007453DC" w:rsidP="007453DC">
      <w:pPr>
        <w:pStyle w:val="ListParagraph"/>
        <w:numPr>
          <w:ilvl w:val="0"/>
          <w:numId w:val="2"/>
        </w:numPr>
      </w:pPr>
      <w:r>
        <w:t>Barclays’</w:t>
      </w:r>
      <w:r w:rsidRPr="00D0375E">
        <w:t xml:space="preserve"> European peers have already started taking more ambitious steps to align their energy </w:t>
      </w:r>
      <w:r>
        <w:t>financing with the Paris goals. For example:</w:t>
      </w:r>
    </w:p>
    <w:p w14:paraId="37750025" w14:textId="77777777" w:rsidR="007453DC" w:rsidRDefault="007453DC" w:rsidP="007453DC">
      <w:pPr>
        <w:pStyle w:val="ListParagraph"/>
        <w:numPr>
          <w:ilvl w:val="1"/>
          <w:numId w:val="2"/>
        </w:numPr>
      </w:pPr>
      <w:r w:rsidRPr="00D0375E">
        <w:t xml:space="preserve">Crédit Agricole </w:t>
      </w:r>
      <w:hyperlink r:id="rId15" w:history="1">
        <w:r w:rsidRPr="00D0375E">
          <w:rPr>
            <w:rStyle w:val="Hyperlink"/>
          </w:rPr>
          <w:t>committed to</w:t>
        </w:r>
      </w:hyperlink>
      <w:r w:rsidRPr="00D0375E">
        <w:t xml:space="preserve"> </w:t>
      </w:r>
      <w:r>
        <w:t>fully phase out its exposure</w:t>
      </w:r>
      <w:r w:rsidRPr="00D0375E">
        <w:t xml:space="preserve"> to the coal industry by 2030 for EU and OECD countries; 2040 for China; </w:t>
      </w:r>
      <w:r>
        <w:t>2050 for the rest of the world.</w:t>
      </w:r>
    </w:p>
    <w:p w14:paraId="1E9357A5" w14:textId="77777777" w:rsidR="007453DC" w:rsidRDefault="007453DC" w:rsidP="007453DC">
      <w:pPr>
        <w:pStyle w:val="ListParagraph"/>
        <w:numPr>
          <w:ilvl w:val="1"/>
          <w:numId w:val="2"/>
        </w:numPr>
      </w:pPr>
      <w:r w:rsidRPr="00917BF7">
        <w:t xml:space="preserve">BNP Paribas </w:t>
      </w:r>
      <w:hyperlink r:id="rId16" w:history="1">
        <w:r w:rsidRPr="007453DC">
          <w:rPr>
            <w:rStyle w:val="Hyperlink"/>
          </w:rPr>
          <w:t>committed to no longer do</w:t>
        </w:r>
      </w:hyperlink>
      <w:r w:rsidRPr="00917BF7">
        <w:t xml:space="preserve"> business with companies focused on oil and gas from </w:t>
      </w:r>
      <w:r>
        <w:t xml:space="preserve">tar sands. </w:t>
      </w:r>
      <w:r w:rsidRPr="00917BF7">
        <w:t xml:space="preserve">BNP Paribas will </w:t>
      </w:r>
      <w:r>
        <w:t xml:space="preserve">also </w:t>
      </w:r>
      <w:r w:rsidRPr="00917BF7">
        <w:t>no longer finance projects that are mainly involved in the transportation and export of oil and gas from tar sands</w:t>
      </w:r>
      <w:r>
        <w:t>.</w:t>
      </w:r>
    </w:p>
    <w:p w14:paraId="1596245E" w14:textId="77777777" w:rsidR="007453DC" w:rsidRPr="006E798B" w:rsidRDefault="007453DC" w:rsidP="007453DC">
      <w:pPr>
        <w:pStyle w:val="ListParagraph"/>
        <w:numPr>
          <w:ilvl w:val="1"/>
          <w:numId w:val="2"/>
        </w:numPr>
      </w:pPr>
      <w:r w:rsidRPr="00D0375E">
        <w:t xml:space="preserve">Standard Chartered </w:t>
      </w:r>
      <w:hyperlink r:id="rId17" w:history="1">
        <w:r w:rsidRPr="00AA2570">
          <w:rPr>
            <w:rStyle w:val="Hyperlink"/>
          </w:rPr>
          <w:t>committed not to</w:t>
        </w:r>
      </w:hyperlink>
      <w:r>
        <w:t xml:space="preserve"> </w:t>
      </w:r>
      <w:r w:rsidRPr="00D0375E">
        <w:t>provide new financial services to new projects or developments that involve the extraction and construction of associated export facilities from tar sands, the exploration or production of oil and gas in the Amazon basin, and the exploration or production of oil and gas in the Arctic region</w:t>
      </w:r>
      <w:r>
        <w:t>.</w:t>
      </w:r>
    </w:p>
    <w:p w14:paraId="0F1A737D" w14:textId="70F7842A" w:rsidR="003C77F8" w:rsidRDefault="0090673C" w:rsidP="1227DA38">
      <w:pPr>
        <w:pStyle w:val="ListParagraph"/>
        <w:numPr>
          <w:ilvl w:val="0"/>
          <w:numId w:val="2"/>
        </w:numPr>
        <w:rPr>
          <w:color w:val="000000" w:themeColor="text1"/>
        </w:rPr>
      </w:pPr>
      <w:r w:rsidRPr="1227DA38">
        <w:rPr>
          <w:shd w:val="clear" w:color="auto" w:fill="FFFFFF"/>
        </w:rPr>
        <w:t xml:space="preserve">About </w:t>
      </w:r>
      <w:proofErr w:type="spellStart"/>
      <w:r w:rsidRPr="1227DA38">
        <w:rPr>
          <w:shd w:val="clear" w:color="auto" w:fill="FFFFFF"/>
        </w:rPr>
        <w:t>ShareAction</w:t>
      </w:r>
      <w:proofErr w:type="spellEnd"/>
      <w:r w:rsidRPr="1227DA38">
        <w:rPr>
          <w:shd w:val="clear" w:color="auto" w:fill="FFFFFF"/>
        </w:rPr>
        <w:t xml:space="preserve">: </w:t>
      </w:r>
      <w:proofErr w:type="spellStart"/>
      <w:r w:rsidRPr="1227DA38">
        <w:rPr>
          <w:shd w:val="clear" w:color="auto" w:fill="FFFFFF"/>
        </w:rPr>
        <w:t>ShareAction</w:t>
      </w:r>
      <w:proofErr w:type="spellEnd"/>
      <w:r w:rsidRPr="1227DA38">
        <w:rPr>
          <w:shd w:val="clear" w:color="auto" w:fill="FFFFFF"/>
        </w:rPr>
        <w:t xml:space="preserve"> exists to make the global investment sector responsible for its impacts, while mobilising its power to address the challenges we face. </w:t>
      </w:r>
      <w:r w:rsidR="003C77F8" w:rsidRPr="1227DA38">
        <w:rPr>
          <w:shd w:val="clear" w:color="auto" w:fill="FFFFFF"/>
        </w:rPr>
        <w:t>The potential for shifting capital markets towards positive outcomes is huge, but major financial institutions are currently failing to drive the level of change we need to create a green, fair, and healthy society.</w:t>
      </w:r>
    </w:p>
    <w:p w14:paraId="12784FC2" w14:textId="08936267" w:rsidR="006971FC" w:rsidRPr="003C77F8" w:rsidRDefault="006971FC" w:rsidP="2392F737">
      <w:pPr>
        <w:ind w:left="720"/>
        <w:rPr>
          <w:color w:val="000000" w:themeColor="text1"/>
        </w:rPr>
      </w:pPr>
      <w:r w:rsidRPr="1227DA38">
        <w:rPr>
          <w:shd w:val="clear" w:color="auto" w:fill="FFFFFF"/>
        </w:rPr>
        <w:t>We want a future where all finance powers social progress and since 2005, we’ve developed a powerful toolkit of research, campaigns, policy advocacy and public mobilisation to drive change in and through the finance system. We are working to create a system in which:</w:t>
      </w:r>
    </w:p>
    <w:p w14:paraId="2C987642" w14:textId="77777777" w:rsidR="006971FC" w:rsidRPr="006971FC" w:rsidRDefault="006971FC" w:rsidP="1227DA38">
      <w:pPr>
        <w:pStyle w:val="ListParagraph"/>
        <w:numPr>
          <w:ilvl w:val="0"/>
          <w:numId w:val="6"/>
        </w:numPr>
        <w:ind w:left="1440"/>
        <w:rPr>
          <w:color w:val="000000" w:themeColor="text1"/>
        </w:rPr>
      </w:pPr>
      <w:r w:rsidRPr="1227DA38">
        <w:rPr>
          <w:shd w:val="clear" w:color="auto" w:fill="FFFFFF"/>
        </w:rPr>
        <w:t xml:space="preserve">Major financial institutions take responsibility for their impacts on people and planet </w:t>
      </w:r>
    </w:p>
    <w:p w14:paraId="6FFD7EF7" w14:textId="77777777" w:rsidR="006971FC" w:rsidRPr="006971FC" w:rsidRDefault="006971FC" w:rsidP="1227DA38">
      <w:pPr>
        <w:pStyle w:val="ListParagraph"/>
        <w:numPr>
          <w:ilvl w:val="0"/>
          <w:numId w:val="6"/>
        </w:numPr>
        <w:ind w:left="1440"/>
        <w:rPr>
          <w:color w:val="000000" w:themeColor="text1"/>
        </w:rPr>
      </w:pPr>
      <w:r w:rsidRPr="1227DA38">
        <w:rPr>
          <w:shd w:val="clear" w:color="auto" w:fill="FFFFFF"/>
        </w:rPr>
        <w:t xml:space="preserve">Investors and the companies they invest in operate within safe ecological limits </w:t>
      </w:r>
    </w:p>
    <w:p w14:paraId="6AFCC463" w14:textId="75F3E122" w:rsidR="006971FC" w:rsidRPr="006971FC" w:rsidRDefault="006971FC" w:rsidP="1227DA38">
      <w:pPr>
        <w:pStyle w:val="ListParagraph"/>
        <w:numPr>
          <w:ilvl w:val="0"/>
          <w:numId w:val="6"/>
        </w:numPr>
        <w:ind w:left="1440"/>
        <w:rPr>
          <w:color w:val="000000" w:themeColor="text1"/>
        </w:rPr>
      </w:pPr>
      <w:r w:rsidRPr="1227DA38">
        <w:rPr>
          <w:shd w:val="clear" w:color="auto" w:fill="FFFFFF"/>
        </w:rPr>
        <w:t>Investors and the companies they invest in sustain fair, just and healthy societies, and</w:t>
      </w:r>
    </w:p>
    <w:p w14:paraId="3DF532A5" w14:textId="3987B082" w:rsidR="006D3DD6" w:rsidRPr="003C77F8" w:rsidRDefault="006971FC" w:rsidP="1227DA38">
      <w:pPr>
        <w:pStyle w:val="ListParagraph"/>
        <w:numPr>
          <w:ilvl w:val="0"/>
          <w:numId w:val="6"/>
        </w:numPr>
        <w:ind w:left="1440"/>
        <w:rPr>
          <w:color w:val="000000" w:themeColor="text1"/>
        </w:rPr>
      </w:pPr>
      <w:r w:rsidRPr="1227DA38">
        <w:rPr>
          <w:shd w:val="clear" w:color="auto" w:fill="FFFFFF"/>
        </w:rPr>
        <w:t>The investment system is diverse and inclusive at all levels.</w:t>
      </w:r>
    </w:p>
    <w:sectPr w:rsidR="006D3DD6" w:rsidRPr="003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1632C"/>
    <w:multiLevelType w:val="hybridMultilevel"/>
    <w:tmpl w:val="D1C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C3B51"/>
    <w:multiLevelType w:val="hybridMultilevel"/>
    <w:tmpl w:val="C4D2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46EDA"/>
    <w:multiLevelType w:val="hybridMultilevel"/>
    <w:tmpl w:val="EA568DE0"/>
    <w:lvl w:ilvl="0" w:tplc="2CC847D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A679D"/>
    <w:multiLevelType w:val="hybridMultilevel"/>
    <w:tmpl w:val="05F627D8"/>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F22BDD"/>
    <w:multiLevelType w:val="hybridMultilevel"/>
    <w:tmpl w:val="0D643BA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319D3"/>
    <w:multiLevelType w:val="hybridMultilevel"/>
    <w:tmpl w:val="BA0863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F29B9"/>
    <w:multiLevelType w:val="hybridMultilevel"/>
    <w:tmpl w:val="CF72EE8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A2"/>
    <w:rsid w:val="00031D42"/>
    <w:rsid w:val="00063058"/>
    <w:rsid w:val="000D0209"/>
    <w:rsid w:val="000D1DB9"/>
    <w:rsid w:val="000F1790"/>
    <w:rsid w:val="000F3C20"/>
    <w:rsid w:val="001142EB"/>
    <w:rsid w:val="00134CB9"/>
    <w:rsid w:val="001476F7"/>
    <w:rsid w:val="00176C81"/>
    <w:rsid w:val="00185879"/>
    <w:rsid w:val="00266E70"/>
    <w:rsid w:val="0028684C"/>
    <w:rsid w:val="00290099"/>
    <w:rsid w:val="00313535"/>
    <w:rsid w:val="00392B96"/>
    <w:rsid w:val="003975B5"/>
    <w:rsid w:val="003B5D82"/>
    <w:rsid w:val="003C77F8"/>
    <w:rsid w:val="003D1E4A"/>
    <w:rsid w:val="00416A97"/>
    <w:rsid w:val="00435F9B"/>
    <w:rsid w:val="004C1957"/>
    <w:rsid w:val="004C6FFB"/>
    <w:rsid w:val="005B7AA2"/>
    <w:rsid w:val="00612083"/>
    <w:rsid w:val="006971FC"/>
    <w:rsid w:val="006A1BC9"/>
    <w:rsid w:val="006D3DD6"/>
    <w:rsid w:val="006E798B"/>
    <w:rsid w:val="007453DC"/>
    <w:rsid w:val="00750647"/>
    <w:rsid w:val="00753C3D"/>
    <w:rsid w:val="007A182A"/>
    <w:rsid w:val="007C2E75"/>
    <w:rsid w:val="00800C7A"/>
    <w:rsid w:val="0090673C"/>
    <w:rsid w:val="009345C0"/>
    <w:rsid w:val="0098499A"/>
    <w:rsid w:val="009C2807"/>
    <w:rsid w:val="00A256FC"/>
    <w:rsid w:val="00AA2570"/>
    <w:rsid w:val="00B17C71"/>
    <w:rsid w:val="00B30036"/>
    <w:rsid w:val="00B41043"/>
    <w:rsid w:val="00B950B0"/>
    <w:rsid w:val="00C052B5"/>
    <w:rsid w:val="00C05DE1"/>
    <w:rsid w:val="00C34B8B"/>
    <w:rsid w:val="00C424CE"/>
    <w:rsid w:val="00C4648F"/>
    <w:rsid w:val="00C660E3"/>
    <w:rsid w:val="00D0375E"/>
    <w:rsid w:val="00D3421B"/>
    <w:rsid w:val="00D53F33"/>
    <w:rsid w:val="00DB0A64"/>
    <w:rsid w:val="00DC5A35"/>
    <w:rsid w:val="00E10958"/>
    <w:rsid w:val="00E1224C"/>
    <w:rsid w:val="00E4343F"/>
    <w:rsid w:val="00E762CE"/>
    <w:rsid w:val="00ED6630"/>
    <w:rsid w:val="00F1711B"/>
    <w:rsid w:val="00F3618B"/>
    <w:rsid w:val="00FD20C1"/>
    <w:rsid w:val="04FB9A9F"/>
    <w:rsid w:val="07FF1DCC"/>
    <w:rsid w:val="1227DA38"/>
    <w:rsid w:val="137F141B"/>
    <w:rsid w:val="1D782DAD"/>
    <w:rsid w:val="220E1487"/>
    <w:rsid w:val="2392F737"/>
    <w:rsid w:val="342DFCCD"/>
    <w:rsid w:val="3ED7200B"/>
    <w:rsid w:val="496FE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FB44"/>
  <w15:chartTrackingRefBased/>
  <w15:docId w15:val="{5A718686-0005-47A7-B1AC-CAAF097E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AA2"/>
    <w:pPr>
      <w:ind w:left="720"/>
      <w:contextualSpacing/>
    </w:pPr>
  </w:style>
  <w:style w:type="character" w:styleId="Hyperlink">
    <w:name w:val="Hyperlink"/>
    <w:basedOn w:val="DefaultParagraphFont"/>
    <w:uiPriority w:val="99"/>
    <w:unhideWhenUsed/>
    <w:rsid w:val="00DB0A64"/>
    <w:rPr>
      <w:color w:val="0563C1" w:themeColor="hyperlink"/>
      <w:u w:val="single"/>
    </w:rPr>
  </w:style>
  <w:style w:type="paragraph" w:styleId="BalloonText">
    <w:name w:val="Balloon Text"/>
    <w:basedOn w:val="Normal"/>
    <w:link w:val="BalloonTextChar"/>
    <w:uiPriority w:val="99"/>
    <w:semiHidden/>
    <w:unhideWhenUsed/>
    <w:rsid w:val="00E43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43F"/>
    <w:rPr>
      <w:rFonts w:ascii="Segoe UI" w:hAnsi="Segoe UI" w:cs="Segoe UI"/>
      <w:sz w:val="18"/>
      <w:szCs w:val="18"/>
    </w:rPr>
  </w:style>
  <w:style w:type="character" w:styleId="CommentReference">
    <w:name w:val="annotation reference"/>
    <w:basedOn w:val="DefaultParagraphFont"/>
    <w:uiPriority w:val="99"/>
    <w:semiHidden/>
    <w:unhideWhenUsed/>
    <w:rsid w:val="00E4343F"/>
    <w:rPr>
      <w:sz w:val="16"/>
      <w:szCs w:val="16"/>
    </w:rPr>
  </w:style>
  <w:style w:type="paragraph" w:styleId="CommentText">
    <w:name w:val="annotation text"/>
    <w:basedOn w:val="Normal"/>
    <w:link w:val="CommentTextChar"/>
    <w:uiPriority w:val="99"/>
    <w:semiHidden/>
    <w:unhideWhenUsed/>
    <w:rsid w:val="00E4343F"/>
    <w:pPr>
      <w:spacing w:line="240" w:lineRule="auto"/>
    </w:pPr>
    <w:rPr>
      <w:sz w:val="20"/>
      <w:szCs w:val="20"/>
    </w:rPr>
  </w:style>
  <w:style w:type="character" w:customStyle="1" w:styleId="CommentTextChar">
    <w:name w:val="Comment Text Char"/>
    <w:basedOn w:val="DefaultParagraphFont"/>
    <w:link w:val="CommentText"/>
    <w:uiPriority w:val="99"/>
    <w:semiHidden/>
    <w:rsid w:val="00E4343F"/>
    <w:rPr>
      <w:sz w:val="20"/>
      <w:szCs w:val="20"/>
    </w:rPr>
  </w:style>
  <w:style w:type="paragraph" w:styleId="CommentSubject">
    <w:name w:val="annotation subject"/>
    <w:basedOn w:val="CommentText"/>
    <w:next w:val="CommentText"/>
    <w:link w:val="CommentSubjectChar"/>
    <w:uiPriority w:val="99"/>
    <w:semiHidden/>
    <w:unhideWhenUsed/>
    <w:rsid w:val="00E4343F"/>
    <w:rPr>
      <w:b/>
      <w:bCs/>
    </w:rPr>
  </w:style>
  <w:style w:type="character" w:customStyle="1" w:styleId="CommentSubjectChar">
    <w:name w:val="Comment Subject Char"/>
    <w:basedOn w:val="CommentTextChar"/>
    <w:link w:val="CommentSubject"/>
    <w:uiPriority w:val="99"/>
    <w:semiHidden/>
    <w:rsid w:val="00E4343F"/>
    <w:rPr>
      <w:b/>
      <w:bCs/>
      <w:sz w:val="20"/>
      <w:szCs w:val="20"/>
    </w:rPr>
  </w:style>
  <w:style w:type="character" w:styleId="FollowedHyperlink">
    <w:name w:val="FollowedHyperlink"/>
    <w:basedOn w:val="DefaultParagraphFont"/>
    <w:uiPriority w:val="99"/>
    <w:semiHidden/>
    <w:unhideWhenUsed/>
    <w:rsid w:val="00D0375E"/>
    <w:rPr>
      <w:color w:val="954F72" w:themeColor="followedHyperlink"/>
      <w:u w:val="single"/>
    </w:rPr>
  </w:style>
  <w:style w:type="character" w:customStyle="1" w:styleId="normaltextrun">
    <w:name w:val="normaltextrun"/>
    <w:basedOn w:val="DefaultParagraphFont"/>
    <w:rsid w:val="0069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071947">
      <w:bodyDiv w:val="1"/>
      <w:marLeft w:val="0"/>
      <w:marRight w:val="0"/>
      <w:marTop w:val="0"/>
      <w:marBottom w:val="0"/>
      <w:divBdr>
        <w:top w:val="none" w:sz="0" w:space="0" w:color="auto"/>
        <w:left w:val="none" w:sz="0" w:space="0" w:color="auto"/>
        <w:bottom w:val="none" w:sz="0" w:space="0" w:color="auto"/>
        <w:right w:val="none" w:sz="0" w:space="0" w:color="auto"/>
      </w:divBdr>
    </w:div>
    <w:div w:id="894123113">
      <w:bodyDiv w:val="1"/>
      <w:marLeft w:val="0"/>
      <w:marRight w:val="0"/>
      <w:marTop w:val="0"/>
      <w:marBottom w:val="0"/>
      <w:divBdr>
        <w:top w:val="none" w:sz="0" w:space="0" w:color="auto"/>
        <w:left w:val="none" w:sz="0" w:space="0" w:color="auto"/>
        <w:bottom w:val="none" w:sz="0" w:space="0" w:color="auto"/>
        <w:right w:val="none" w:sz="0" w:space="0" w:color="auto"/>
      </w:divBdr>
      <w:divsChild>
        <w:div w:id="861355244">
          <w:marLeft w:val="0"/>
          <w:marRight w:val="0"/>
          <w:marTop w:val="0"/>
          <w:marBottom w:val="0"/>
          <w:divBdr>
            <w:top w:val="none" w:sz="0" w:space="0" w:color="auto"/>
            <w:left w:val="none" w:sz="0" w:space="0" w:color="auto"/>
            <w:bottom w:val="none" w:sz="0" w:space="0" w:color="auto"/>
            <w:right w:val="none" w:sz="0" w:space="0" w:color="auto"/>
          </w:divBdr>
        </w:div>
        <w:div w:id="2057966367">
          <w:marLeft w:val="0"/>
          <w:marRight w:val="0"/>
          <w:marTop w:val="0"/>
          <w:marBottom w:val="0"/>
          <w:divBdr>
            <w:top w:val="none" w:sz="0" w:space="0" w:color="auto"/>
            <w:left w:val="none" w:sz="0" w:space="0" w:color="auto"/>
            <w:bottom w:val="none" w:sz="0" w:space="0" w:color="auto"/>
            <w:right w:val="none" w:sz="0" w:space="0" w:color="auto"/>
          </w:divBdr>
        </w:div>
        <w:div w:id="2003001103">
          <w:marLeft w:val="0"/>
          <w:marRight w:val="0"/>
          <w:marTop w:val="0"/>
          <w:marBottom w:val="0"/>
          <w:divBdr>
            <w:top w:val="none" w:sz="0" w:space="0" w:color="auto"/>
            <w:left w:val="none" w:sz="0" w:space="0" w:color="auto"/>
            <w:bottom w:val="none" w:sz="0" w:space="0" w:color="auto"/>
            <w:right w:val="none" w:sz="0" w:space="0" w:color="auto"/>
          </w:divBdr>
        </w:div>
        <w:div w:id="973144158">
          <w:marLeft w:val="0"/>
          <w:marRight w:val="0"/>
          <w:marTop w:val="0"/>
          <w:marBottom w:val="0"/>
          <w:divBdr>
            <w:top w:val="none" w:sz="0" w:space="0" w:color="auto"/>
            <w:left w:val="none" w:sz="0" w:space="0" w:color="auto"/>
            <w:bottom w:val="none" w:sz="0" w:space="0" w:color="auto"/>
            <w:right w:val="none" w:sz="0" w:space="0" w:color="auto"/>
          </w:divBdr>
        </w:div>
        <w:div w:id="181706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se.ac.uk/GranthamInstitute/news/new-report-shows-it-is-vital-for-investors-to-support-a-justtransition-for-workers-institutions-with-us5-trillion-in-assets-back-efforts-to-link-climate-action-to-socialinclu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ws.sky.com/story/barclays-urged-to-act-over-climate-change-11708562" TargetMode="External"/><Relationship Id="rId17" Type="http://schemas.openxmlformats.org/officeDocument/2006/relationships/hyperlink" Target="https://www.sc.com/en/sustainability/position-statements/power-generation/" TargetMode="External"/><Relationship Id="rId2" Type="http://schemas.openxmlformats.org/officeDocument/2006/relationships/customXml" Target="../customXml/item2.xml"/><Relationship Id="rId16" Type="http://schemas.openxmlformats.org/officeDocument/2006/relationships/hyperlink" Target="https://www.bnpparibas.com.cn/en/2017/10/11/bnp-paribas-takes-further-measures-to-accelerate-its-support-of-the-energy-transi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ran.org/wp-content/uploads/2019/03/Banking_on_Climate_Change_2019_vFINAL1.pdf" TargetMode="External"/><Relationship Id="rId5" Type="http://schemas.openxmlformats.org/officeDocument/2006/relationships/customXml" Target="../customXml/item5.xml"/><Relationship Id="rId15" Type="http://schemas.openxmlformats.org/officeDocument/2006/relationships/hyperlink" Target="https://www.credit-agricole.com/en/responsible-and-committed/our-csr-strategy-partnering-asustainable-economy/climate-finance" TargetMode="External"/><Relationship Id="rId10" Type="http://schemas.openxmlformats.org/officeDocument/2006/relationships/hyperlink" Target="https://www.ran.org/wp-content/uploads/2019/03/Banking_on_Climate_Change_2019_vFINAL1.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u.osullivan@sharea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2667b84d1e4f2caf54c5f91a7a9220 xmlns="cf4b764b-0e8c-4a39-8aa9-f5479460a59e">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e5a798f8-db95-4c55-8ffd-38f7acb44a2b</TermId>
        </TermInfo>
      </Terms>
    </gd2667b84d1e4f2caf54c5f91a7a9220>
    <k018909055f1404ebc20286a9aad4d48 xmlns="cf4b764b-0e8c-4a39-8aa9-f5479460a59e">
      <Terms xmlns="http://schemas.microsoft.com/office/infopath/2007/PartnerControls">
        <TermInfo xmlns="http://schemas.microsoft.com/office/infopath/2007/PartnerControls">
          <TermName xmlns="http://schemas.microsoft.com/office/infopath/2007/PartnerControls">Press</TermName>
          <TermId xmlns="http://schemas.microsoft.com/office/infopath/2007/PartnerControls">b40e4f2c-9fd2-40f0-84a6-416d89e06e0f</TermId>
        </TermInfo>
      </Terms>
    </k018909055f1404ebc20286a9aad4d48>
    <nff0033d2e5a433d964af4546ffb2166 xmlns="cf4b764b-0e8c-4a39-8aa9-f5479460a59e">
      <Terms xmlns="http://schemas.microsoft.com/office/infopath/2007/PartnerControls">
        <TermInfo xmlns="http://schemas.microsoft.com/office/infopath/2007/PartnerControls">
          <TermName xmlns="http://schemas.microsoft.com/office/infopath/2007/PartnerControls">Journalist</TermName>
          <TermId xmlns="http://schemas.microsoft.com/office/infopath/2007/PartnerControls">3e04d323-d19a-439e-a396-43979463cf6f</TermId>
        </TermInfo>
      </Terms>
    </nff0033d2e5a433d964af4546ffb2166>
    <TaxCatchAll xmlns="cf4b764b-0e8c-4a39-8aa9-f5479460a59e">
      <Value>343</Value>
      <Value>334</Value>
      <Value>248</Value>
      <Value>350</Value>
    </TaxCatchAll>
    <j77ed3d570094dd483c01da1eb72200f xmlns="cf4b764b-0e8c-4a39-8aa9-f5479460a59e">
      <Terms xmlns="http://schemas.microsoft.com/office/infopath/2007/PartnerControls"/>
    </j77ed3d570094dd483c01da1eb72200f>
    <j0c448f3363c42eb955620c85f05ab3a xmlns="cf4b764b-0e8c-4a39-8aa9-f5479460a59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d2439af1-6ac1-49c9-a8ae-69a66b8834c8</TermId>
        </TermInfo>
      </Terms>
    </j0c448f3363c42eb955620c85f05ab3a>
  </documentManagement>
</p:properties>
</file>

<file path=customXml/item2.xml><?xml version="1.0" encoding="utf-8"?>
<?mso-contentType ?>
<SharedContentType xmlns="Microsoft.SharePoint.Taxonomy.ContentTypeSync" SourceId="311410f7-e0c4-4aa1-9c12-29caaf78b780" ContentTypeId="0x010100BDBDEB9F73E7F64CA24E1E7CECF0F3D804" PreviousValue="false"/>
</file>

<file path=customXml/item3.xml><?xml version="1.0" encoding="utf-8"?>
<ct:contentTypeSchema xmlns:ct="http://schemas.microsoft.com/office/2006/metadata/contentType" xmlns:ma="http://schemas.microsoft.com/office/2006/metadata/properties/metaAttributes" ct:_="" ma:_="" ma:contentTypeName="Communications" ma:contentTypeID="0x010100BDBDEB9F73E7F64CA24E1E7CECF0F3D8040051EA36C66498DB4481C1053F1A176EC6" ma:contentTypeVersion="20" ma:contentTypeDescription="" ma:contentTypeScope="" ma:versionID="5a11090d13acedc24b59c3f9a9cbb1eb">
  <xsd:schema xmlns:xsd="http://www.w3.org/2001/XMLSchema" xmlns:xs="http://www.w3.org/2001/XMLSchema" xmlns:p="http://schemas.microsoft.com/office/2006/metadata/properties" xmlns:ns2="cf4b764b-0e8c-4a39-8aa9-f5479460a59e" targetNamespace="http://schemas.microsoft.com/office/2006/metadata/properties" ma:root="true" ma:fieldsID="658c2e0cdcd4ef24bcecae487d472199" ns2:_="">
    <xsd:import namespace="cf4b764b-0e8c-4a39-8aa9-f5479460a59e"/>
    <xsd:element name="properties">
      <xsd:complexType>
        <xsd:sequence>
          <xsd:element name="documentManagement">
            <xsd:complexType>
              <xsd:all>
                <xsd:element ref="ns2:j0c448f3363c42eb955620c85f05ab3a" minOccurs="0"/>
                <xsd:element ref="ns2:TaxCatchAll" minOccurs="0"/>
                <xsd:element ref="ns2:TaxCatchAllLabel" minOccurs="0"/>
                <xsd:element ref="ns2:k018909055f1404ebc20286a9aad4d48" minOccurs="0"/>
                <xsd:element ref="ns2:gd2667b84d1e4f2caf54c5f91a7a9220" minOccurs="0"/>
                <xsd:element ref="ns2:nff0033d2e5a433d964af4546ffb2166" minOccurs="0"/>
                <xsd:element ref="ns2:j77ed3d570094dd483c01da1eb72200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b764b-0e8c-4a39-8aa9-f5479460a59e" elementFormDefault="qualified">
    <xsd:import namespace="http://schemas.microsoft.com/office/2006/documentManagement/types"/>
    <xsd:import namespace="http://schemas.microsoft.com/office/infopath/2007/PartnerControls"/>
    <xsd:element name="j0c448f3363c42eb955620c85f05ab3a" ma:index="8" ma:taxonomy="true" ma:internalName="j0c448f3363c42eb955620c85f05ab3a" ma:taxonomyFieldName="Programme_x0020_Name" ma:displayName="Programme Name" ma:indexed="true" ma:readOnly="false" ma:default="" ma:fieldId="{30c448f3-363c-42eb-9556-20c85f05ab3a}" ma:sspId="311410f7-e0c4-4aa1-9c12-29caaf78b780" ma:termSetId="1459150a-c474-4712-8b34-793917e47da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c106af7-c3cb-42d4-aa19-2212f1356d78}" ma:internalName="TaxCatchAll" ma:showField="CatchAllData" ma:web="9b06bbf5-4e21-4def-8202-3dfdf66c2f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106af7-c3cb-42d4-aa19-2212f1356d78}" ma:internalName="TaxCatchAllLabel" ma:readOnly="true" ma:showField="CatchAllDataLabel" ma:web="9b06bbf5-4e21-4def-8202-3dfdf66c2fc9">
      <xsd:complexType>
        <xsd:complexContent>
          <xsd:extension base="dms:MultiChoiceLookup">
            <xsd:sequence>
              <xsd:element name="Value" type="dms:Lookup" maxOccurs="unbounded" minOccurs="0" nillable="true"/>
            </xsd:sequence>
          </xsd:extension>
        </xsd:complexContent>
      </xsd:complexType>
    </xsd:element>
    <xsd:element name="k018909055f1404ebc20286a9aad4d48" ma:index="12" ma:taxonomy="true" ma:internalName="k018909055f1404ebc20286a9aad4d48" ma:taxonomyFieldName="Project_x0020_Name" ma:displayName="Project Name" ma:indexed="true" ma:readOnly="false" ma:default="" ma:fieldId="{40189090-55f1-404e-bc20-286a9aad4d48}" ma:sspId="311410f7-e0c4-4aa1-9c12-29caaf78b780" ma:termSetId="12b2b36a-77ee-47d3-a5c8-5ec3050b38b8" ma:anchorId="00000000-0000-0000-0000-000000000000" ma:open="false" ma:isKeyword="false">
      <xsd:complexType>
        <xsd:sequence>
          <xsd:element ref="pc:Terms" minOccurs="0" maxOccurs="1"/>
        </xsd:sequence>
      </xsd:complexType>
    </xsd:element>
    <xsd:element name="gd2667b84d1e4f2caf54c5f91a7a9220" ma:index="14" ma:taxonomy="true" ma:internalName="gd2667b84d1e4f2caf54c5f91a7a9220" ma:taxonomyFieldName="Document_x0020_Type" ma:displayName="Document Type" ma:indexed="true" ma:default="" ma:fieldId="{0d2667b8-4d1e-4f2c-af54-c5f91a7a9220}" ma:sspId="311410f7-e0c4-4aa1-9c12-29caaf78b780" ma:termSetId="e035d6ec-e3f1-45da-9f43-5468377e620e" ma:anchorId="00000000-0000-0000-0000-000000000000" ma:open="false" ma:isKeyword="false">
      <xsd:complexType>
        <xsd:sequence>
          <xsd:element ref="pc:Terms" minOccurs="0" maxOccurs="1"/>
        </xsd:sequence>
      </xsd:complexType>
    </xsd:element>
    <xsd:element name="nff0033d2e5a433d964af4546ffb2166" ma:index="16" ma:taxonomy="true" ma:internalName="nff0033d2e5a433d964af4546ffb2166" ma:taxonomyFieldName="Audience_x0020_Type" ma:displayName="Audience" ma:indexed="true" ma:readOnly="false" ma:default="" ma:fieldId="{7ff0033d-2e5a-433d-964a-f4546ffb2166}" ma:sspId="311410f7-e0c4-4aa1-9c12-29caaf78b780" ma:termSetId="30de2112-7834-4df2-b2e3-3c9166ad6a4a" ma:anchorId="00000000-0000-0000-0000-000000000000" ma:open="false" ma:isKeyword="false">
      <xsd:complexType>
        <xsd:sequence>
          <xsd:element ref="pc:Terms" minOccurs="0" maxOccurs="1"/>
        </xsd:sequence>
      </xsd:complexType>
    </xsd:element>
    <xsd:element name="j77ed3d570094dd483c01da1eb72200f" ma:index="18" nillable="true" ma:taxonomy="true" ma:internalName="j77ed3d570094dd483c01da1eb72200f" ma:taxonomyFieldName="Organisation" ma:displayName="Organisation" ma:default="" ma:fieldId="{377ed3d5-7009-4dd4-83c0-1da1eb72200f}" ma:taxonomyMulti="true" ma:sspId="311410f7-e0c4-4aa1-9c12-29caaf78b780" ma:termSetId="7d129b6a-f2f2-4f02-a503-853796cb1df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11640-5923-48F2-8CB1-E010F7F43682}">
  <ds:schemaRefs>
    <ds:schemaRef ds:uri="http://schemas.microsoft.com/office/2006/metadata/properties"/>
    <ds:schemaRef ds:uri="http://schemas.microsoft.com/office/infopath/2007/PartnerControls"/>
    <ds:schemaRef ds:uri="cf4b764b-0e8c-4a39-8aa9-f5479460a59e"/>
  </ds:schemaRefs>
</ds:datastoreItem>
</file>

<file path=customXml/itemProps2.xml><?xml version="1.0" encoding="utf-8"?>
<ds:datastoreItem xmlns:ds="http://schemas.openxmlformats.org/officeDocument/2006/customXml" ds:itemID="{2818B833-7284-405A-B7E1-C9D902D40BDF}">
  <ds:schemaRefs>
    <ds:schemaRef ds:uri="Microsoft.SharePoint.Taxonomy.ContentTypeSync"/>
  </ds:schemaRefs>
</ds:datastoreItem>
</file>

<file path=customXml/itemProps3.xml><?xml version="1.0" encoding="utf-8"?>
<ds:datastoreItem xmlns:ds="http://schemas.openxmlformats.org/officeDocument/2006/customXml" ds:itemID="{B31227C9-FFB7-4AE4-8F6B-A65C4A691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b764b-0e8c-4a39-8aa9-f547946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8E3B7-F21E-442E-97A6-0ABD3AE0CB5B}">
  <ds:schemaRefs>
    <ds:schemaRef ds:uri="http://schemas.openxmlformats.org/officeDocument/2006/bibliography"/>
  </ds:schemaRefs>
</ds:datastoreItem>
</file>

<file path=customXml/itemProps5.xml><?xml version="1.0" encoding="utf-8"?>
<ds:datastoreItem xmlns:ds="http://schemas.openxmlformats.org/officeDocument/2006/customXml" ds:itemID="{8FAE80B0-FA10-4237-8905-7FA7BE76B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Brooks</dc:creator>
  <cp:keywords/>
  <dc:description/>
  <cp:lastModifiedBy>Mark Johnston</cp:lastModifiedBy>
  <cp:revision>2</cp:revision>
  <dcterms:created xsi:type="dcterms:W3CDTF">2021-10-27T10:19:00Z</dcterms:created>
  <dcterms:modified xsi:type="dcterms:W3CDTF">2021-10-27T10:19:00Z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0x010100BDBDEB9F73E7F64CA24E1E7CECF0F3D8040051EA36C66498DB4481C1053F1A176EC6</vt:lpwstr>
  </property>
  <property fmtid="{D5CDD505-2E9C-101B-9397-08002B2CF9AE}" pid="3" name="Audience Type">
    <vt:lpwstr>334;#Journalist|3e04d323-d19a-439e-a396-43979463cf6f</vt:lpwstr>
  </property>
  <property fmtid="{D5CDD505-2E9C-101B-9397-08002B2CF9AE}" pid="4" name="Organisation">
    <vt:lpwstr/>
  </property>
  <property fmtid="{D5CDD505-2E9C-101B-9397-08002B2CF9AE}" pid="5" name="Programme Name">
    <vt:lpwstr>248;#Communications|d2439af1-6ac1-49c9-a8ae-69a66b8834c8</vt:lpwstr>
  </property>
  <property fmtid="{D5CDD505-2E9C-101B-9397-08002B2CF9AE}" pid="6" name="Project Name">
    <vt:lpwstr>350;#Press|b40e4f2c-9fd2-40f0-84a6-416d89e06e0f</vt:lpwstr>
  </property>
  <property fmtid="{D5CDD505-2E9C-101B-9397-08002B2CF9AE}" pid="7" name="Document Type">
    <vt:lpwstr>343;#Press Release|e5a798f8-db95-4c55-8ffd-38f7acb44a2b</vt:lpwstr>
  </property>
</Properties>
</file>