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E886" w14:textId="54E383E1" w:rsidR="00FE6695" w:rsidRPr="00753E66" w:rsidRDefault="00B632BB" w:rsidP="00753E66">
      <w:pPr>
        <w:pStyle w:val="Heading1"/>
        <w:jc w:val="center"/>
        <w:rPr>
          <w:sz w:val="24"/>
          <w:szCs w:val="24"/>
        </w:rPr>
      </w:pPr>
      <w:r>
        <w:rPr>
          <w:sz w:val="24"/>
          <w:szCs w:val="24"/>
        </w:rPr>
        <w:t xml:space="preserve">FALKIRK COUNCIL </w:t>
      </w:r>
      <w:r w:rsidR="00FE6695" w:rsidRPr="00753E66">
        <w:rPr>
          <w:sz w:val="24"/>
          <w:szCs w:val="24"/>
        </w:rPr>
        <w:t xml:space="preserve">PENSION FUND </w:t>
      </w:r>
    </w:p>
    <w:p w14:paraId="5A9858AF" w14:textId="77777777" w:rsidR="00FE6695" w:rsidRPr="00753E66" w:rsidRDefault="00FE6695" w:rsidP="00135E59">
      <w:pPr>
        <w:pStyle w:val="Title"/>
        <w:spacing w:line="240" w:lineRule="auto"/>
        <w:jc w:val="center"/>
        <w:rPr>
          <w:rFonts w:ascii="Calibri" w:hAnsi="Calibri"/>
          <w:color w:val="auto"/>
          <w:sz w:val="24"/>
          <w:szCs w:val="24"/>
        </w:rPr>
      </w:pPr>
    </w:p>
    <w:p w14:paraId="218F2318" w14:textId="77777777" w:rsidR="004E1AED" w:rsidRPr="00753E66" w:rsidRDefault="00FE6695" w:rsidP="00425011">
      <w:pPr>
        <w:pStyle w:val="Title"/>
        <w:spacing w:before="120" w:after="240"/>
        <w:jc w:val="center"/>
        <w:rPr>
          <w:rFonts w:ascii="Calibri" w:hAnsi="Calibri"/>
          <w:b/>
          <w:color w:val="auto"/>
          <w:sz w:val="36"/>
          <w:szCs w:val="36"/>
        </w:rPr>
      </w:pPr>
      <w:r w:rsidRPr="00753E66">
        <w:rPr>
          <w:rFonts w:ascii="Calibri" w:hAnsi="Calibri"/>
          <w:b/>
          <w:color w:val="auto"/>
          <w:sz w:val="36"/>
          <w:szCs w:val="36"/>
        </w:rPr>
        <w:t>STATEMENT OF iNVESTMENT pRINCIPLES</w:t>
      </w:r>
    </w:p>
    <w:p w14:paraId="0B420A51" w14:textId="77777777" w:rsidR="00194DF6" w:rsidRPr="00FE6695" w:rsidRDefault="00C33AEE">
      <w:pPr>
        <w:pStyle w:val="Heading1"/>
      </w:pPr>
      <w:r>
        <w:t xml:space="preserve">1. </w:t>
      </w:r>
      <w:r w:rsidR="00FE6695" w:rsidRPr="00FE6695">
        <w:t>Introduction</w:t>
      </w:r>
    </w:p>
    <w:p w14:paraId="7F927A8C" w14:textId="77777777" w:rsidR="00FE6695" w:rsidRPr="00FE6695" w:rsidRDefault="00FE6695" w:rsidP="000671D3">
      <w:pPr>
        <w:spacing w:before="0" w:after="0"/>
        <w:rPr>
          <w:rFonts w:ascii="Calibri" w:hAnsi="Calibri"/>
        </w:rPr>
      </w:pPr>
    </w:p>
    <w:p w14:paraId="317444BF" w14:textId="418B8A7D" w:rsidR="00FE6695" w:rsidRPr="000671D3" w:rsidRDefault="00807C2D" w:rsidP="00EB35F1">
      <w:pPr>
        <w:numPr>
          <w:ilvl w:val="1"/>
          <w:numId w:val="1"/>
        </w:numPr>
        <w:tabs>
          <w:tab w:val="clear" w:pos="930"/>
        </w:tabs>
        <w:spacing w:before="0" w:after="0" w:line="240" w:lineRule="auto"/>
        <w:ind w:left="567" w:hanging="567"/>
        <w:jc w:val="both"/>
        <w:rPr>
          <w:rFonts w:ascii="Calibri" w:hAnsi="Calibri" w:cs="Arial"/>
        </w:rPr>
      </w:pPr>
      <w:r>
        <w:rPr>
          <w:rFonts w:ascii="Calibri" w:hAnsi="Calibri" w:cs="Arial"/>
        </w:rPr>
        <w:t xml:space="preserve">Falkirk Council </w:t>
      </w:r>
      <w:r w:rsidRPr="000671D3">
        <w:rPr>
          <w:rFonts w:ascii="Calibri" w:hAnsi="Calibri" w:cs="Arial"/>
        </w:rPr>
        <w:t xml:space="preserve">is the administering authority </w:t>
      </w:r>
      <w:r>
        <w:rPr>
          <w:rFonts w:ascii="Calibri" w:hAnsi="Calibri" w:cs="Arial"/>
        </w:rPr>
        <w:t>of</w:t>
      </w:r>
      <w:r w:rsidRPr="000671D3">
        <w:rPr>
          <w:rFonts w:ascii="Calibri" w:hAnsi="Calibri" w:cs="Arial"/>
        </w:rPr>
        <w:t xml:space="preserve"> the </w:t>
      </w:r>
      <w:r>
        <w:rPr>
          <w:rFonts w:ascii="Calibri" w:hAnsi="Calibri" w:cs="Arial"/>
        </w:rPr>
        <w:t xml:space="preserve">Falkirk Council Pension Fund (“the Fund”).  </w:t>
      </w:r>
      <w:r w:rsidR="00FE6695" w:rsidRPr="000671D3">
        <w:rPr>
          <w:rFonts w:ascii="Calibri" w:hAnsi="Calibri" w:cs="Arial"/>
        </w:rPr>
        <w:t>Th</w:t>
      </w:r>
      <w:r w:rsidR="00D81C78">
        <w:rPr>
          <w:rFonts w:ascii="Calibri" w:hAnsi="Calibri" w:cs="Arial"/>
        </w:rPr>
        <w:t>is</w:t>
      </w:r>
      <w:r>
        <w:rPr>
          <w:rFonts w:ascii="Calibri" w:hAnsi="Calibri" w:cs="Arial"/>
        </w:rPr>
        <w:t xml:space="preserve"> </w:t>
      </w:r>
      <w:r w:rsidR="00FE6695" w:rsidRPr="000671D3">
        <w:rPr>
          <w:rFonts w:ascii="Calibri" w:hAnsi="Calibri" w:cs="Arial"/>
        </w:rPr>
        <w:t>Statement of Investment Principles</w:t>
      </w:r>
      <w:r w:rsidR="00C33AEE" w:rsidRPr="000671D3">
        <w:rPr>
          <w:rFonts w:ascii="Calibri" w:hAnsi="Calibri" w:cs="Arial"/>
        </w:rPr>
        <w:t xml:space="preserve"> (</w:t>
      </w:r>
      <w:r w:rsidR="00C33AEE" w:rsidRPr="000671D3">
        <w:rPr>
          <w:rFonts w:ascii="Calibri" w:hAnsi="Calibri" w:cs="Arial"/>
          <w:b/>
        </w:rPr>
        <w:t>SIP</w:t>
      </w:r>
      <w:r w:rsidR="00C33AEE" w:rsidRPr="000671D3">
        <w:rPr>
          <w:rFonts w:ascii="Calibri" w:hAnsi="Calibri" w:cs="Arial"/>
        </w:rPr>
        <w:t>)</w:t>
      </w:r>
      <w:r w:rsidR="00FE6695" w:rsidRPr="000671D3">
        <w:rPr>
          <w:rFonts w:ascii="Calibri" w:hAnsi="Calibri" w:cs="Arial"/>
        </w:rPr>
        <w:t xml:space="preserve"> was agreed by the Pensions Committee </w:t>
      </w:r>
      <w:r w:rsidR="003C7D4F" w:rsidRPr="000671D3">
        <w:rPr>
          <w:rFonts w:ascii="Calibri" w:hAnsi="Calibri" w:cs="Arial"/>
        </w:rPr>
        <w:t>(</w:t>
      </w:r>
      <w:r w:rsidR="004F6AB9">
        <w:rPr>
          <w:rFonts w:ascii="Calibri" w:hAnsi="Calibri" w:cs="Arial"/>
        </w:rPr>
        <w:t xml:space="preserve">the </w:t>
      </w:r>
      <w:r w:rsidR="003C7D4F" w:rsidRPr="000671D3">
        <w:rPr>
          <w:rFonts w:ascii="Calibri" w:hAnsi="Calibri" w:cs="Arial"/>
          <w:b/>
        </w:rPr>
        <w:t>Committee</w:t>
      </w:r>
      <w:r w:rsidR="003C7D4F" w:rsidRPr="000671D3">
        <w:rPr>
          <w:rFonts w:ascii="Calibri" w:hAnsi="Calibri" w:cs="Arial"/>
        </w:rPr>
        <w:t xml:space="preserve">) </w:t>
      </w:r>
      <w:r w:rsidR="00FE6695" w:rsidRPr="000671D3">
        <w:rPr>
          <w:rFonts w:ascii="Calibri" w:hAnsi="Calibri" w:cs="Arial"/>
        </w:rPr>
        <w:t xml:space="preserve">of </w:t>
      </w:r>
      <w:r w:rsidR="00B632BB">
        <w:rPr>
          <w:rFonts w:ascii="Calibri" w:hAnsi="Calibri" w:cs="Arial"/>
        </w:rPr>
        <w:t xml:space="preserve">Falkirk Council </w:t>
      </w:r>
      <w:r w:rsidR="00FE6695" w:rsidRPr="000671D3">
        <w:rPr>
          <w:rFonts w:ascii="Calibri" w:hAnsi="Calibri" w:cs="Arial"/>
        </w:rPr>
        <w:t>on</w:t>
      </w:r>
      <w:r w:rsidR="003C7F49">
        <w:rPr>
          <w:rFonts w:ascii="Calibri" w:hAnsi="Calibri" w:cs="Arial"/>
        </w:rPr>
        <w:t xml:space="preserve"> 14 March 2024</w:t>
      </w:r>
      <w:r w:rsidR="009376E1">
        <w:rPr>
          <w:rFonts w:ascii="Calibri" w:hAnsi="Calibri" w:cs="Arial"/>
        </w:rPr>
        <w:t xml:space="preserve">. </w:t>
      </w:r>
      <w:r w:rsidR="00FE6695" w:rsidRPr="000671D3">
        <w:rPr>
          <w:rFonts w:ascii="Calibri" w:hAnsi="Calibri" w:cs="Arial"/>
        </w:rPr>
        <w:t xml:space="preserve">  </w:t>
      </w:r>
    </w:p>
    <w:p w14:paraId="547E1ED7" w14:textId="77777777" w:rsidR="00FE6695" w:rsidRPr="00FE6695" w:rsidRDefault="00FE6695" w:rsidP="00B71EB2">
      <w:pPr>
        <w:spacing w:before="0" w:after="0" w:line="240" w:lineRule="auto"/>
        <w:ind w:left="567" w:hanging="567"/>
        <w:jc w:val="both"/>
        <w:rPr>
          <w:rFonts w:ascii="Calibri" w:hAnsi="Calibri" w:cs="Arial"/>
          <w:sz w:val="24"/>
          <w:szCs w:val="24"/>
        </w:rPr>
      </w:pPr>
    </w:p>
    <w:p w14:paraId="0571F494" w14:textId="23392AAC" w:rsidR="0058280F" w:rsidRPr="000671D3" w:rsidRDefault="00FE6695" w:rsidP="00EB35F1">
      <w:pPr>
        <w:numPr>
          <w:ilvl w:val="1"/>
          <w:numId w:val="1"/>
        </w:numPr>
        <w:tabs>
          <w:tab w:val="clear" w:pos="930"/>
        </w:tabs>
        <w:spacing w:before="0" w:after="0" w:line="240" w:lineRule="auto"/>
        <w:ind w:left="567" w:hanging="567"/>
        <w:jc w:val="both"/>
        <w:rPr>
          <w:rFonts w:ascii="Calibri" w:hAnsi="Calibri" w:cs="Arial"/>
        </w:rPr>
      </w:pPr>
      <w:r w:rsidRPr="000671D3">
        <w:rPr>
          <w:rFonts w:ascii="Calibri" w:hAnsi="Calibri" w:cs="Arial"/>
        </w:rPr>
        <w:t>The Local Government Pension Scheme (Management and Investment of Funds) (Scotland) Regulations 2010 require administering authorities to prepare, mai</w:t>
      </w:r>
      <w:r w:rsidR="003C7D4F" w:rsidRPr="000671D3">
        <w:rPr>
          <w:rFonts w:ascii="Calibri" w:hAnsi="Calibri" w:cs="Arial"/>
        </w:rPr>
        <w:t>ntain and publish a SIP</w:t>
      </w:r>
      <w:r w:rsidRPr="000671D3">
        <w:rPr>
          <w:rFonts w:ascii="Calibri" w:hAnsi="Calibri" w:cs="Arial"/>
        </w:rPr>
        <w:t>.  The SIP must be reviewed from time to time and revised within six months of any material changes</w:t>
      </w:r>
      <w:r w:rsidR="00EB69EA">
        <w:rPr>
          <w:rFonts w:ascii="Calibri" w:hAnsi="Calibri" w:cs="Arial"/>
        </w:rPr>
        <w:t xml:space="preserve">. </w:t>
      </w:r>
      <w:r w:rsidRPr="000671D3">
        <w:rPr>
          <w:rFonts w:ascii="Calibri" w:hAnsi="Calibri" w:cs="Arial"/>
        </w:rPr>
        <w:t xml:space="preserve">  </w:t>
      </w:r>
    </w:p>
    <w:p w14:paraId="7FC07667" w14:textId="77777777" w:rsidR="0058280F" w:rsidRPr="000671D3" w:rsidRDefault="0058280F" w:rsidP="00B71EB2">
      <w:pPr>
        <w:spacing w:before="0" w:after="0" w:line="240" w:lineRule="auto"/>
        <w:ind w:left="567" w:hanging="567"/>
        <w:jc w:val="both"/>
        <w:rPr>
          <w:rFonts w:ascii="Calibri" w:hAnsi="Calibri" w:cs="Arial"/>
        </w:rPr>
      </w:pPr>
    </w:p>
    <w:p w14:paraId="158B46CE" w14:textId="7C97D159" w:rsidR="00FE6695" w:rsidRPr="000671D3" w:rsidRDefault="00FE6695" w:rsidP="00EB35F1">
      <w:pPr>
        <w:numPr>
          <w:ilvl w:val="1"/>
          <w:numId w:val="1"/>
        </w:numPr>
        <w:tabs>
          <w:tab w:val="clear" w:pos="930"/>
        </w:tabs>
        <w:spacing w:before="0" w:after="0" w:line="240" w:lineRule="auto"/>
        <w:ind w:left="567" w:hanging="567"/>
        <w:jc w:val="both"/>
        <w:rPr>
          <w:rFonts w:ascii="Calibri" w:hAnsi="Calibri" w:cs="Arial"/>
        </w:rPr>
      </w:pPr>
      <w:r w:rsidRPr="000671D3">
        <w:rPr>
          <w:rFonts w:ascii="Calibri" w:hAnsi="Calibri" w:cs="Helvetica"/>
          <w:lang w:eastAsia="en-GB"/>
        </w:rPr>
        <w:t xml:space="preserve">In preparing this statement, the Committee has taken advice from the Joint Investment </w:t>
      </w:r>
      <w:r w:rsidR="006907AD">
        <w:rPr>
          <w:rFonts w:ascii="Calibri" w:hAnsi="Calibri" w:cs="Helvetica"/>
          <w:lang w:eastAsia="en-GB"/>
        </w:rPr>
        <w:t>Forum</w:t>
      </w:r>
      <w:r w:rsidR="003C7D4F" w:rsidRPr="000671D3">
        <w:rPr>
          <w:rFonts w:ascii="Calibri" w:hAnsi="Calibri" w:cs="Helvetica"/>
          <w:lang w:eastAsia="en-GB"/>
        </w:rPr>
        <w:t xml:space="preserve"> (</w:t>
      </w:r>
      <w:r w:rsidR="003C7D4F" w:rsidRPr="000671D3">
        <w:rPr>
          <w:rFonts w:ascii="Calibri" w:hAnsi="Calibri" w:cs="Helvetica"/>
          <w:b/>
          <w:lang w:eastAsia="en-GB"/>
        </w:rPr>
        <w:t>JI</w:t>
      </w:r>
      <w:r w:rsidR="006907AD">
        <w:rPr>
          <w:rFonts w:ascii="Calibri" w:hAnsi="Calibri" w:cs="Helvetica"/>
          <w:b/>
          <w:lang w:eastAsia="en-GB"/>
        </w:rPr>
        <w:t>F</w:t>
      </w:r>
      <w:r w:rsidR="003C7D4F" w:rsidRPr="000671D3">
        <w:rPr>
          <w:rFonts w:ascii="Calibri" w:hAnsi="Calibri" w:cs="Helvetica"/>
          <w:lang w:eastAsia="en-GB"/>
        </w:rPr>
        <w:t>)</w:t>
      </w:r>
      <w:r w:rsidRPr="000671D3">
        <w:rPr>
          <w:rFonts w:ascii="Calibri" w:hAnsi="Calibri" w:cs="Helvetica"/>
          <w:lang w:eastAsia="en-GB"/>
        </w:rPr>
        <w:t>, which includes external advisers</w:t>
      </w:r>
      <w:r w:rsidR="003C7D4F" w:rsidRPr="000671D3">
        <w:rPr>
          <w:rFonts w:ascii="Calibri" w:hAnsi="Calibri" w:cs="Helvetica"/>
          <w:lang w:eastAsia="en-GB"/>
        </w:rPr>
        <w:t xml:space="preserve"> and </w:t>
      </w:r>
      <w:r w:rsidR="00123C46">
        <w:rPr>
          <w:rFonts w:ascii="Calibri" w:hAnsi="Calibri" w:cs="Helvetica"/>
          <w:lang w:eastAsia="en-GB"/>
        </w:rPr>
        <w:t xml:space="preserve">members of the </w:t>
      </w:r>
      <w:r w:rsidR="00B632BB">
        <w:rPr>
          <w:rFonts w:ascii="Calibri" w:hAnsi="Calibri" w:cs="Helvetica"/>
          <w:lang w:eastAsia="en-GB"/>
        </w:rPr>
        <w:t xml:space="preserve">Lothian </w:t>
      </w:r>
      <w:r w:rsidR="00123C46">
        <w:rPr>
          <w:rFonts w:ascii="Calibri" w:hAnsi="Calibri" w:cs="Helvetica"/>
          <w:lang w:eastAsia="en-GB"/>
        </w:rPr>
        <w:t xml:space="preserve">internal investment team who are </w:t>
      </w:r>
      <w:r w:rsidR="006907AD">
        <w:rPr>
          <w:rFonts w:ascii="Calibri" w:hAnsi="Calibri" w:cs="Helvetica"/>
          <w:lang w:eastAsia="en-GB"/>
        </w:rPr>
        <w:t>Financial Conduct Authority (</w:t>
      </w:r>
      <w:r w:rsidR="003C7D4F" w:rsidRPr="000671D3">
        <w:rPr>
          <w:rFonts w:ascii="Calibri" w:hAnsi="Calibri" w:cs="Helvetica"/>
          <w:lang w:eastAsia="en-GB"/>
        </w:rPr>
        <w:t>FCA</w:t>
      </w:r>
      <w:r w:rsidR="006907AD">
        <w:rPr>
          <w:rFonts w:ascii="Calibri" w:hAnsi="Calibri" w:cs="Helvetica"/>
          <w:lang w:eastAsia="en-GB"/>
        </w:rPr>
        <w:t>)</w:t>
      </w:r>
      <w:r w:rsidR="003C7D4F" w:rsidRPr="000671D3">
        <w:rPr>
          <w:rFonts w:ascii="Calibri" w:hAnsi="Calibri" w:cs="Helvetica"/>
          <w:lang w:eastAsia="en-GB"/>
        </w:rPr>
        <w:t xml:space="preserve"> authorised individuals</w:t>
      </w:r>
      <w:r w:rsidRPr="000671D3">
        <w:rPr>
          <w:rFonts w:ascii="Calibri" w:hAnsi="Calibri" w:cs="Helvetica"/>
          <w:lang w:eastAsia="en-GB"/>
        </w:rPr>
        <w:t>.</w:t>
      </w:r>
    </w:p>
    <w:p w14:paraId="1B280A34" w14:textId="77777777" w:rsidR="00FE6695" w:rsidRPr="000671D3" w:rsidRDefault="00FE6695" w:rsidP="00B71EB2">
      <w:pPr>
        <w:spacing w:before="0" w:after="0" w:line="240" w:lineRule="auto"/>
        <w:ind w:left="567" w:hanging="567"/>
        <w:jc w:val="both"/>
        <w:rPr>
          <w:rFonts w:ascii="Calibri" w:hAnsi="Calibri" w:cs="Arial"/>
        </w:rPr>
      </w:pPr>
    </w:p>
    <w:p w14:paraId="6A1C3DA9" w14:textId="49E50B9E" w:rsidR="00FE6695" w:rsidRDefault="00FE6695" w:rsidP="00EB35F1">
      <w:pPr>
        <w:numPr>
          <w:ilvl w:val="1"/>
          <w:numId w:val="1"/>
        </w:numPr>
        <w:tabs>
          <w:tab w:val="clear" w:pos="930"/>
        </w:tabs>
        <w:spacing w:before="0" w:after="0" w:line="240" w:lineRule="auto"/>
        <w:ind w:left="567" w:hanging="567"/>
        <w:jc w:val="both"/>
        <w:rPr>
          <w:rFonts w:ascii="Calibri" w:hAnsi="Calibri" w:cs="Arial"/>
        </w:rPr>
      </w:pPr>
      <w:r w:rsidRPr="000671D3">
        <w:rPr>
          <w:rFonts w:ascii="Calibri" w:hAnsi="Calibri" w:cs="Arial"/>
        </w:rPr>
        <w:t>The SIP describes the objectives, policie</w:t>
      </w:r>
      <w:r w:rsidR="003C7D4F" w:rsidRPr="000671D3">
        <w:rPr>
          <w:rFonts w:ascii="Calibri" w:hAnsi="Calibri" w:cs="Arial"/>
        </w:rPr>
        <w:t xml:space="preserve">s and principles adopted by the </w:t>
      </w:r>
      <w:r w:rsidR="00B632BB">
        <w:rPr>
          <w:rFonts w:ascii="Calibri" w:hAnsi="Calibri" w:cs="Arial"/>
        </w:rPr>
        <w:t xml:space="preserve">Pensions </w:t>
      </w:r>
      <w:r w:rsidR="00C33AEE" w:rsidRPr="000671D3">
        <w:rPr>
          <w:rFonts w:ascii="Calibri" w:hAnsi="Calibri" w:cs="Arial"/>
        </w:rPr>
        <w:t>Committee</w:t>
      </w:r>
      <w:r w:rsidRPr="000671D3">
        <w:rPr>
          <w:rFonts w:ascii="Calibri" w:hAnsi="Calibri" w:cs="Arial"/>
        </w:rPr>
        <w:t xml:space="preserve"> in undertaking the investment of </w:t>
      </w:r>
      <w:r w:rsidR="00044188" w:rsidRPr="000671D3">
        <w:rPr>
          <w:rFonts w:ascii="Calibri" w:hAnsi="Calibri" w:cs="Arial"/>
        </w:rPr>
        <w:t>fund monies.</w:t>
      </w:r>
      <w:r w:rsidR="0058280F" w:rsidRPr="000671D3">
        <w:rPr>
          <w:rFonts w:ascii="Calibri" w:hAnsi="Calibri" w:cs="Arial"/>
        </w:rPr>
        <w:t xml:space="preserve">  </w:t>
      </w:r>
      <w:r w:rsidR="00A95BA1">
        <w:rPr>
          <w:rFonts w:ascii="Calibri" w:hAnsi="Calibri" w:cs="Arial"/>
        </w:rPr>
        <w:t>Th</w:t>
      </w:r>
      <w:r w:rsidR="0058280F" w:rsidRPr="000671D3">
        <w:rPr>
          <w:rFonts w:ascii="Calibri" w:hAnsi="Calibri" w:cs="Arial"/>
        </w:rPr>
        <w:t>e SIP also discloses the extent to which the Funds comply with the six “</w:t>
      </w:r>
      <w:proofErr w:type="spellStart"/>
      <w:r w:rsidR="0058280F" w:rsidRPr="000671D3">
        <w:rPr>
          <w:rFonts w:ascii="Calibri" w:hAnsi="Calibri" w:cs="Arial"/>
        </w:rPr>
        <w:t>Myners</w:t>
      </w:r>
      <w:proofErr w:type="spellEnd"/>
      <w:r w:rsidR="0058280F" w:rsidRPr="000671D3">
        <w:rPr>
          <w:rFonts w:ascii="Calibri" w:hAnsi="Calibri" w:cs="Arial"/>
        </w:rPr>
        <w:t xml:space="preserve"> Principles” of investment practice.</w:t>
      </w:r>
    </w:p>
    <w:p w14:paraId="767E01D8" w14:textId="77777777" w:rsidR="001B28F1" w:rsidRDefault="001B28F1" w:rsidP="001B28F1">
      <w:pPr>
        <w:pStyle w:val="ListParagraph"/>
        <w:spacing w:before="0" w:after="0" w:line="240" w:lineRule="auto"/>
        <w:rPr>
          <w:rFonts w:ascii="Calibri" w:hAnsi="Calibri" w:cs="Arial"/>
        </w:rPr>
      </w:pPr>
    </w:p>
    <w:p w14:paraId="0B2DC8D3" w14:textId="67474927" w:rsidR="001B28F1" w:rsidRDefault="001B28F1" w:rsidP="00EB35F1">
      <w:pPr>
        <w:numPr>
          <w:ilvl w:val="1"/>
          <w:numId w:val="1"/>
        </w:numPr>
        <w:tabs>
          <w:tab w:val="clear" w:pos="930"/>
        </w:tabs>
        <w:spacing w:before="0" w:after="0" w:line="240" w:lineRule="auto"/>
        <w:ind w:left="567" w:hanging="567"/>
        <w:jc w:val="both"/>
        <w:rPr>
          <w:rFonts w:ascii="Calibri" w:hAnsi="Calibri" w:cs="Arial"/>
        </w:rPr>
      </w:pPr>
      <w:r>
        <w:rPr>
          <w:rFonts w:ascii="Calibri" w:hAnsi="Calibri" w:cs="Arial"/>
        </w:rPr>
        <w:t xml:space="preserve">The SIP has been devised in conjunction with the Lothian and Fife Pensions Funds as part of the three Funds’ commitment to work collaboratively to achieve the efficiencies that come from scale investing.    </w:t>
      </w:r>
    </w:p>
    <w:p w14:paraId="00E49584" w14:textId="77777777" w:rsidR="001B28F1" w:rsidRPr="00FE6695" w:rsidRDefault="001B28F1" w:rsidP="000671D3">
      <w:pPr>
        <w:spacing w:before="0" w:after="0"/>
        <w:ind w:left="567" w:hanging="567"/>
        <w:rPr>
          <w:rFonts w:ascii="Calibri" w:hAnsi="Calibri"/>
        </w:rPr>
      </w:pPr>
    </w:p>
    <w:p w14:paraId="537D17ED" w14:textId="77777777" w:rsidR="00FE6695" w:rsidRPr="00FE6695" w:rsidRDefault="00C33AEE" w:rsidP="00B71EB2">
      <w:pPr>
        <w:pStyle w:val="Heading1"/>
        <w:ind w:left="567" w:hanging="567"/>
      </w:pPr>
      <w:r>
        <w:t xml:space="preserve">2. </w:t>
      </w:r>
      <w:r w:rsidR="00FE6695" w:rsidRPr="00FE6695">
        <w:t>governance</w:t>
      </w:r>
    </w:p>
    <w:p w14:paraId="010BCCB9" w14:textId="77777777" w:rsidR="00C33AEE" w:rsidRPr="00FE6695" w:rsidRDefault="00C33AEE" w:rsidP="000671D3">
      <w:pPr>
        <w:spacing w:before="0" w:after="0"/>
        <w:ind w:left="567" w:hanging="567"/>
        <w:rPr>
          <w:rFonts w:ascii="Calibri" w:hAnsi="Calibri"/>
        </w:rPr>
      </w:pPr>
    </w:p>
    <w:p w14:paraId="3CB97EB8" w14:textId="5F4E9945" w:rsidR="001D065D" w:rsidRPr="007F7DB9" w:rsidRDefault="00B14896" w:rsidP="00EB35F1">
      <w:pPr>
        <w:numPr>
          <w:ilvl w:val="1"/>
          <w:numId w:val="2"/>
        </w:numPr>
        <w:spacing w:before="0" w:after="0" w:line="240" w:lineRule="auto"/>
        <w:ind w:left="567" w:hanging="567"/>
        <w:jc w:val="both"/>
        <w:rPr>
          <w:rFonts w:ascii="Calibri" w:hAnsi="Calibri" w:cs="Arial"/>
        </w:rPr>
      </w:pPr>
      <w:r>
        <w:rPr>
          <w:rFonts w:ascii="Calibri" w:hAnsi="Calibri" w:cs="Arial"/>
        </w:rPr>
        <w:t xml:space="preserve">Falkirk Council </w:t>
      </w:r>
      <w:r w:rsidR="001D065D" w:rsidRPr="000671D3">
        <w:rPr>
          <w:rFonts w:ascii="Calibri" w:hAnsi="Calibri" w:cs="Arial"/>
        </w:rPr>
        <w:t xml:space="preserve">has delegated responsibility for the </w:t>
      </w:r>
      <w:r>
        <w:rPr>
          <w:rFonts w:ascii="Calibri" w:hAnsi="Calibri" w:cs="Arial"/>
        </w:rPr>
        <w:t xml:space="preserve">management </w:t>
      </w:r>
      <w:r w:rsidR="001D065D" w:rsidRPr="000671D3">
        <w:rPr>
          <w:rFonts w:ascii="Calibri" w:hAnsi="Calibri" w:cs="Arial"/>
        </w:rPr>
        <w:t xml:space="preserve">of the Fund to </w:t>
      </w:r>
      <w:r>
        <w:rPr>
          <w:rFonts w:ascii="Calibri" w:hAnsi="Calibri" w:cs="Arial"/>
        </w:rPr>
        <w:t xml:space="preserve">its Pensions </w:t>
      </w:r>
      <w:r w:rsidR="001D065D" w:rsidRPr="000671D3">
        <w:rPr>
          <w:rFonts w:ascii="Calibri" w:hAnsi="Calibri" w:cs="Arial"/>
        </w:rPr>
        <w:t xml:space="preserve">Committee, </w:t>
      </w:r>
      <w:r w:rsidR="001D2E26">
        <w:rPr>
          <w:rFonts w:ascii="Calibri" w:hAnsi="Calibri" w:cs="Arial"/>
        </w:rPr>
        <w:t>which comprises</w:t>
      </w:r>
      <w:r w:rsidR="001D065D" w:rsidRPr="000671D3">
        <w:rPr>
          <w:rFonts w:ascii="Calibri" w:hAnsi="Calibri" w:cs="Arial"/>
        </w:rPr>
        <w:t xml:space="preserve"> </w:t>
      </w:r>
      <w:r>
        <w:rPr>
          <w:rFonts w:ascii="Calibri" w:hAnsi="Calibri" w:cs="Arial"/>
        </w:rPr>
        <w:t>six</w:t>
      </w:r>
      <w:r w:rsidR="001D065D" w:rsidRPr="000671D3">
        <w:rPr>
          <w:rFonts w:ascii="Calibri" w:hAnsi="Calibri" w:cs="Arial"/>
        </w:rPr>
        <w:t xml:space="preserve"> elected members from </w:t>
      </w:r>
      <w:r>
        <w:rPr>
          <w:rFonts w:ascii="Calibri" w:hAnsi="Calibri" w:cs="Arial"/>
        </w:rPr>
        <w:t xml:space="preserve">Falkirk Council </w:t>
      </w:r>
      <w:r w:rsidR="001D065D" w:rsidRPr="000671D3">
        <w:rPr>
          <w:rFonts w:ascii="Calibri" w:hAnsi="Calibri" w:cs="Arial"/>
        </w:rPr>
        <w:t>and t</w:t>
      </w:r>
      <w:r>
        <w:rPr>
          <w:rFonts w:ascii="Calibri" w:hAnsi="Calibri" w:cs="Arial"/>
        </w:rPr>
        <w:t>hree</w:t>
      </w:r>
      <w:r w:rsidR="001D065D" w:rsidRPr="000671D3">
        <w:rPr>
          <w:rFonts w:ascii="Calibri" w:hAnsi="Calibri" w:cs="Arial"/>
        </w:rPr>
        <w:t xml:space="preserve"> co-opted members </w:t>
      </w:r>
      <w:r w:rsidR="008917EB">
        <w:rPr>
          <w:rFonts w:ascii="Calibri" w:hAnsi="Calibri" w:cs="Arial"/>
        </w:rPr>
        <w:t>drawn from E</w:t>
      </w:r>
      <w:r w:rsidR="001D065D" w:rsidRPr="000671D3">
        <w:rPr>
          <w:rFonts w:ascii="Calibri" w:hAnsi="Calibri" w:cs="Arial"/>
        </w:rPr>
        <w:t>mployer</w:t>
      </w:r>
      <w:r>
        <w:rPr>
          <w:rFonts w:ascii="Calibri" w:hAnsi="Calibri" w:cs="Arial"/>
        </w:rPr>
        <w:t xml:space="preserve">, </w:t>
      </w:r>
      <w:r w:rsidR="008917EB">
        <w:rPr>
          <w:rFonts w:ascii="Calibri" w:hAnsi="Calibri" w:cs="Arial"/>
        </w:rPr>
        <w:t>P</w:t>
      </w:r>
      <w:r>
        <w:rPr>
          <w:rFonts w:ascii="Calibri" w:hAnsi="Calibri" w:cs="Arial"/>
        </w:rPr>
        <w:t xml:space="preserve">ensioner </w:t>
      </w:r>
      <w:r w:rsidR="001D065D" w:rsidRPr="000671D3">
        <w:rPr>
          <w:rFonts w:ascii="Calibri" w:hAnsi="Calibri" w:cs="Arial"/>
        </w:rPr>
        <w:t xml:space="preserve">and </w:t>
      </w:r>
      <w:r w:rsidR="006907AD">
        <w:rPr>
          <w:rFonts w:ascii="Calibri" w:hAnsi="Calibri" w:cs="Arial"/>
        </w:rPr>
        <w:t>Employee Member</w:t>
      </w:r>
      <w:r w:rsidR="008917EB">
        <w:rPr>
          <w:rFonts w:ascii="Calibri" w:hAnsi="Calibri" w:cs="Arial"/>
        </w:rPr>
        <w:t xml:space="preserve"> </w:t>
      </w:r>
      <w:r w:rsidR="001D065D" w:rsidRPr="000671D3">
        <w:rPr>
          <w:rFonts w:ascii="Calibri" w:hAnsi="Calibri" w:cs="Arial"/>
        </w:rPr>
        <w:t xml:space="preserve">interests.  </w:t>
      </w:r>
      <w:r w:rsidR="003C7D4F" w:rsidRPr="000671D3">
        <w:rPr>
          <w:rFonts w:ascii="Calibri" w:hAnsi="Calibri" w:cs="Arial"/>
        </w:rPr>
        <w:t>The Committee</w:t>
      </w:r>
      <w:r w:rsidR="001D065D" w:rsidRPr="000671D3">
        <w:rPr>
          <w:rFonts w:ascii="Calibri" w:hAnsi="Calibri" w:cs="Arial"/>
        </w:rPr>
        <w:t xml:space="preserve"> is supported by a statutory Pensions Board</w:t>
      </w:r>
      <w:r>
        <w:rPr>
          <w:rFonts w:ascii="Calibri" w:hAnsi="Calibri" w:cs="Arial"/>
        </w:rPr>
        <w:t>,</w:t>
      </w:r>
      <w:r w:rsidR="001D065D" w:rsidRPr="000671D3">
        <w:rPr>
          <w:rFonts w:ascii="Calibri" w:hAnsi="Calibri" w:cs="Arial"/>
        </w:rPr>
        <w:t xml:space="preserve"> consisting of f</w:t>
      </w:r>
      <w:r>
        <w:rPr>
          <w:rFonts w:ascii="Calibri" w:hAnsi="Calibri" w:cs="Arial"/>
        </w:rPr>
        <w:t>our</w:t>
      </w:r>
      <w:r w:rsidR="001D065D" w:rsidRPr="000671D3">
        <w:rPr>
          <w:rFonts w:ascii="Calibri" w:hAnsi="Calibri" w:cs="Arial"/>
        </w:rPr>
        <w:t xml:space="preserve"> </w:t>
      </w:r>
      <w:r w:rsidR="006907AD">
        <w:rPr>
          <w:rFonts w:ascii="Calibri" w:hAnsi="Calibri" w:cs="Arial"/>
        </w:rPr>
        <w:t xml:space="preserve">employee representatives provided by the </w:t>
      </w:r>
      <w:r w:rsidR="001D065D" w:rsidRPr="000671D3">
        <w:rPr>
          <w:rFonts w:ascii="Calibri" w:hAnsi="Calibri" w:cs="Arial"/>
        </w:rPr>
        <w:t>Trade Union</w:t>
      </w:r>
      <w:r w:rsidR="006907AD">
        <w:rPr>
          <w:rFonts w:ascii="Calibri" w:hAnsi="Calibri" w:cs="Arial"/>
        </w:rPr>
        <w:t>s</w:t>
      </w:r>
      <w:r w:rsidR="001D065D" w:rsidRPr="000671D3">
        <w:rPr>
          <w:rFonts w:ascii="Calibri" w:hAnsi="Calibri" w:cs="Arial"/>
        </w:rPr>
        <w:t xml:space="preserve"> and f</w:t>
      </w:r>
      <w:r>
        <w:rPr>
          <w:rFonts w:ascii="Calibri" w:hAnsi="Calibri" w:cs="Arial"/>
        </w:rPr>
        <w:t>our</w:t>
      </w:r>
      <w:r w:rsidR="001D065D" w:rsidRPr="000671D3">
        <w:rPr>
          <w:rFonts w:ascii="Calibri" w:hAnsi="Calibri" w:cs="Arial"/>
        </w:rPr>
        <w:t xml:space="preserve"> employer repr</w:t>
      </w:r>
      <w:r w:rsidR="00B71278" w:rsidRPr="000671D3">
        <w:rPr>
          <w:rFonts w:ascii="Calibri" w:hAnsi="Calibri" w:cs="Arial"/>
        </w:rPr>
        <w:t>esentat</w:t>
      </w:r>
      <w:r w:rsidR="00D34555">
        <w:rPr>
          <w:rFonts w:ascii="Calibri" w:hAnsi="Calibri" w:cs="Arial"/>
        </w:rPr>
        <w:t xml:space="preserve">ives, which </w:t>
      </w:r>
      <w:r>
        <w:rPr>
          <w:rFonts w:ascii="Calibri" w:hAnsi="Calibri" w:cs="Arial"/>
        </w:rPr>
        <w:t xml:space="preserve">in turn </w:t>
      </w:r>
      <w:r w:rsidR="00D34555">
        <w:rPr>
          <w:rFonts w:ascii="Calibri" w:hAnsi="Calibri" w:cs="Arial"/>
        </w:rPr>
        <w:t xml:space="preserve">is responsible </w:t>
      </w:r>
      <w:r w:rsidR="00D34555" w:rsidRPr="007F7DB9">
        <w:rPr>
          <w:rFonts w:ascii="Calibri" w:hAnsi="Calibri" w:cs="Arial"/>
        </w:rPr>
        <w:t xml:space="preserve">for ensuring that </w:t>
      </w:r>
      <w:r w:rsidR="007478C9" w:rsidRPr="007F7DB9">
        <w:rPr>
          <w:rFonts w:ascii="Calibri" w:hAnsi="Calibri" w:cs="Arial"/>
        </w:rPr>
        <w:t>the Fund operate</w:t>
      </w:r>
      <w:r w:rsidR="008917EB">
        <w:rPr>
          <w:rFonts w:ascii="Calibri" w:hAnsi="Calibri" w:cs="Arial"/>
        </w:rPr>
        <w:t>s</w:t>
      </w:r>
      <w:r w:rsidR="007478C9" w:rsidRPr="007F7DB9">
        <w:rPr>
          <w:rFonts w:ascii="Calibri" w:hAnsi="Calibri" w:cs="Arial"/>
        </w:rPr>
        <w:t xml:space="preserve"> in accordance with the applicable laws and regulations. </w:t>
      </w:r>
      <w:r w:rsidR="00123C46">
        <w:rPr>
          <w:rFonts w:ascii="Calibri" w:hAnsi="Calibri" w:cs="Arial"/>
        </w:rPr>
        <w:t xml:space="preserve">The Committee and Board are supported </w:t>
      </w:r>
      <w:r w:rsidR="008917EB">
        <w:rPr>
          <w:rFonts w:ascii="Calibri" w:hAnsi="Calibri" w:cs="Arial"/>
        </w:rPr>
        <w:t xml:space="preserve">by </w:t>
      </w:r>
      <w:r>
        <w:rPr>
          <w:rFonts w:ascii="Calibri" w:hAnsi="Calibri" w:cs="Arial"/>
        </w:rPr>
        <w:t>officers and advisers</w:t>
      </w:r>
      <w:r w:rsidR="00123C46">
        <w:rPr>
          <w:rFonts w:ascii="Calibri" w:hAnsi="Calibri" w:cs="Arial"/>
        </w:rPr>
        <w:t xml:space="preserve">.  </w:t>
      </w:r>
    </w:p>
    <w:p w14:paraId="333F2473" w14:textId="77777777" w:rsidR="001D065D" w:rsidRPr="000671D3" w:rsidRDefault="001D065D" w:rsidP="00B71EB2">
      <w:pPr>
        <w:spacing w:before="0" w:after="0" w:line="240" w:lineRule="auto"/>
        <w:ind w:left="567" w:hanging="567"/>
        <w:jc w:val="both"/>
        <w:rPr>
          <w:rFonts w:ascii="Calibri" w:hAnsi="Calibri" w:cs="Arial"/>
        </w:rPr>
      </w:pPr>
    </w:p>
    <w:p w14:paraId="18661949" w14:textId="48EC10F2" w:rsidR="00EF117D" w:rsidRDefault="00B71278" w:rsidP="00EB35F1">
      <w:pPr>
        <w:numPr>
          <w:ilvl w:val="1"/>
          <w:numId w:val="2"/>
        </w:numPr>
        <w:spacing w:before="0" w:after="0" w:line="240" w:lineRule="auto"/>
        <w:ind w:left="567" w:hanging="567"/>
        <w:jc w:val="both"/>
        <w:rPr>
          <w:rFonts w:ascii="Calibri" w:hAnsi="Calibri" w:cs="Arial"/>
        </w:rPr>
      </w:pPr>
      <w:r w:rsidRPr="000671D3">
        <w:rPr>
          <w:rFonts w:ascii="Calibri" w:hAnsi="Calibri" w:cs="Arial"/>
        </w:rPr>
        <w:t xml:space="preserve">The Committee determines </w:t>
      </w:r>
      <w:r w:rsidR="00153B43">
        <w:rPr>
          <w:rFonts w:ascii="Calibri" w:hAnsi="Calibri" w:cs="Arial"/>
        </w:rPr>
        <w:t xml:space="preserve">the Fund’s </w:t>
      </w:r>
      <w:r w:rsidRPr="000671D3">
        <w:rPr>
          <w:rFonts w:ascii="Calibri" w:hAnsi="Calibri" w:cs="Arial"/>
        </w:rPr>
        <w:t xml:space="preserve">investment strategy based on </w:t>
      </w:r>
      <w:r w:rsidR="00EF117D">
        <w:rPr>
          <w:rFonts w:ascii="Calibri" w:hAnsi="Calibri" w:cs="Arial"/>
        </w:rPr>
        <w:t xml:space="preserve">proper </w:t>
      </w:r>
      <w:r w:rsidRPr="000671D3">
        <w:rPr>
          <w:rFonts w:ascii="Calibri" w:hAnsi="Calibri" w:cs="Arial"/>
        </w:rPr>
        <w:t xml:space="preserve">advice from </w:t>
      </w:r>
      <w:r w:rsidR="00B14896">
        <w:rPr>
          <w:rFonts w:ascii="Calibri" w:hAnsi="Calibri" w:cs="Arial"/>
        </w:rPr>
        <w:t xml:space="preserve">the Council’s Chief Finance Officer, who in turn takes advice from the </w:t>
      </w:r>
      <w:r w:rsidR="00EF117D">
        <w:rPr>
          <w:rFonts w:ascii="Calibri" w:hAnsi="Calibri" w:cs="Arial"/>
        </w:rPr>
        <w:t>JI</w:t>
      </w:r>
      <w:r w:rsidR="00153B43">
        <w:rPr>
          <w:rFonts w:ascii="Calibri" w:hAnsi="Calibri" w:cs="Arial"/>
        </w:rPr>
        <w:t>F</w:t>
      </w:r>
      <w:r w:rsidR="00BE09D5">
        <w:rPr>
          <w:rFonts w:ascii="Calibri" w:hAnsi="Calibri" w:cs="Arial"/>
        </w:rPr>
        <w:t xml:space="preserve"> and other </w:t>
      </w:r>
      <w:r w:rsidR="00B40C5A">
        <w:rPr>
          <w:rFonts w:ascii="Calibri" w:hAnsi="Calibri" w:cs="Arial"/>
        </w:rPr>
        <w:t>advisers as required</w:t>
      </w:r>
      <w:r w:rsidR="00EF117D">
        <w:rPr>
          <w:rFonts w:ascii="Calibri" w:hAnsi="Calibri" w:cs="Arial"/>
        </w:rPr>
        <w:t xml:space="preserve">. </w:t>
      </w:r>
    </w:p>
    <w:p w14:paraId="1FE4C044" w14:textId="77777777" w:rsidR="00EF117D" w:rsidRPr="00EF117D" w:rsidRDefault="00EF117D" w:rsidP="00EF117D">
      <w:pPr>
        <w:spacing w:before="0" w:after="0" w:line="240" w:lineRule="auto"/>
        <w:jc w:val="both"/>
        <w:rPr>
          <w:rFonts w:ascii="Calibri" w:hAnsi="Calibri" w:cs="Arial"/>
        </w:rPr>
      </w:pPr>
    </w:p>
    <w:p w14:paraId="25B0B3C4" w14:textId="191000E8" w:rsidR="00C33AEE" w:rsidRDefault="00B71278" w:rsidP="00EB35F1">
      <w:pPr>
        <w:numPr>
          <w:ilvl w:val="1"/>
          <w:numId w:val="2"/>
        </w:numPr>
        <w:spacing w:before="0" w:after="0" w:line="240" w:lineRule="auto"/>
        <w:ind w:left="567" w:hanging="567"/>
        <w:jc w:val="both"/>
        <w:rPr>
          <w:rFonts w:ascii="Calibri" w:hAnsi="Calibri" w:cs="Arial"/>
        </w:rPr>
      </w:pPr>
      <w:r w:rsidRPr="000671D3">
        <w:rPr>
          <w:rFonts w:ascii="Calibri" w:hAnsi="Calibri" w:cs="Arial"/>
        </w:rPr>
        <w:t>Resp</w:t>
      </w:r>
      <w:r w:rsidR="003C7D4F" w:rsidRPr="000671D3">
        <w:rPr>
          <w:rFonts w:ascii="Calibri" w:hAnsi="Calibri" w:cs="Arial"/>
        </w:rPr>
        <w:t>onsibility for</w:t>
      </w:r>
      <w:r w:rsidRPr="000671D3">
        <w:rPr>
          <w:rFonts w:ascii="Calibri" w:hAnsi="Calibri" w:cs="Arial"/>
        </w:rPr>
        <w:t xml:space="preserve"> implementing the strategy </w:t>
      </w:r>
      <w:r w:rsidR="00123C46">
        <w:rPr>
          <w:rFonts w:ascii="Calibri" w:hAnsi="Calibri" w:cs="Arial"/>
        </w:rPr>
        <w:t>is</w:t>
      </w:r>
      <w:r w:rsidRPr="000671D3">
        <w:rPr>
          <w:rFonts w:ascii="Calibri" w:hAnsi="Calibri" w:cs="Arial"/>
        </w:rPr>
        <w:t xml:space="preserve"> delegated </w:t>
      </w:r>
      <w:r w:rsidR="000D632E">
        <w:rPr>
          <w:rFonts w:ascii="Calibri" w:hAnsi="Calibri" w:cs="Arial"/>
        </w:rPr>
        <w:t>to</w:t>
      </w:r>
      <w:r w:rsidR="00EF117D">
        <w:rPr>
          <w:rFonts w:ascii="Calibri" w:hAnsi="Calibri" w:cs="Arial"/>
        </w:rPr>
        <w:t xml:space="preserve"> the </w:t>
      </w:r>
      <w:r w:rsidR="006E1745">
        <w:rPr>
          <w:rFonts w:ascii="Calibri" w:hAnsi="Calibri" w:cs="Arial"/>
        </w:rPr>
        <w:t xml:space="preserve">Chief Finance Officer </w:t>
      </w:r>
      <w:r w:rsidR="00123C46">
        <w:rPr>
          <w:rFonts w:ascii="Calibri" w:hAnsi="Calibri" w:cs="Arial"/>
        </w:rPr>
        <w:t xml:space="preserve">who </w:t>
      </w:r>
      <w:r w:rsidR="00EB69EA">
        <w:rPr>
          <w:rFonts w:ascii="Calibri" w:hAnsi="Calibri" w:cs="Arial"/>
        </w:rPr>
        <w:t xml:space="preserve">in turn </w:t>
      </w:r>
      <w:r w:rsidRPr="000671D3">
        <w:rPr>
          <w:rFonts w:ascii="Calibri" w:hAnsi="Calibri" w:cs="Arial"/>
        </w:rPr>
        <w:t>tak</w:t>
      </w:r>
      <w:r w:rsidR="006E1745">
        <w:rPr>
          <w:rFonts w:ascii="Calibri" w:hAnsi="Calibri" w:cs="Arial"/>
        </w:rPr>
        <w:t>es</w:t>
      </w:r>
      <w:r w:rsidRPr="000671D3">
        <w:rPr>
          <w:rFonts w:ascii="Calibri" w:hAnsi="Calibri" w:cs="Arial"/>
        </w:rPr>
        <w:t xml:space="preserve"> advice from the JI</w:t>
      </w:r>
      <w:r w:rsidR="00153B43">
        <w:rPr>
          <w:rFonts w:ascii="Calibri" w:hAnsi="Calibri" w:cs="Arial"/>
        </w:rPr>
        <w:t>F</w:t>
      </w:r>
      <w:r w:rsidRPr="000671D3">
        <w:rPr>
          <w:rFonts w:ascii="Calibri" w:hAnsi="Calibri" w:cs="Arial"/>
        </w:rPr>
        <w:t xml:space="preserve">. </w:t>
      </w:r>
      <w:r w:rsidR="006E1745">
        <w:rPr>
          <w:rFonts w:ascii="Calibri" w:hAnsi="Calibri" w:cs="Arial"/>
        </w:rPr>
        <w:t xml:space="preserve"> </w:t>
      </w:r>
      <w:r w:rsidRPr="000671D3">
        <w:rPr>
          <w:rFonts w:ascii="Calibri" w:hAnsi="Calibri" w:cs="Arial"/>
        </w:rPr>
        <w:t xml:space="preserve">Day to day management of the Fund’s assets is undertaken by external investment managers whose activities are governed by Investment Management Agreements and the limits set out in Scheme regulations.  </w:t>
      </w:r>
      <w:r w:rsidR="00807C2D">
        <w:rPr>
          <w:rFonts w:ascii="Calibri" w:hAnsi="Calibri" w:cs="Arial"/>
        </w:rPr>
        <w:t>S</w:t>
      </w:r>
      <w:r w:rsidR="00A04B5E">
        <w:rPr>
          <w:rFonts w:ascii="Calibri" w:hAnsi="Calibri" w:cs="Arial"/>
        </w:rPr>
        <w:t xml:space="preserve">ome of the Fund’s assets </w:t>
      </w:r>
      <w:r w:rsidR="00807C2D">
        <w:rPr>
          <w:rFonts w:ascii="Calibri" w:hAnsi="Calibri" w:cs="Arial"/>
        </w:rPr>
        <w:t xml:space="preserve">are </w:t>
      </w:r>
      <w:r w:rsidR="00A04B5E">
        <w:rPr>
          <w:rFonts w:ascii="Calibri" w:hAnsi="Calibri" w:cs="Arial"/>
        </w:rPr>
        <w:t xml:space="preserve">managed via an Investment Management Agreement with LPFI Ltd – the FCA authorised investment vehicle of Lothian Pension Fund.  </w:t>
      </w:r>
      <w:r w:rsidRPr="000671D3">
        <w:rPr>
          <w:rFonts w:ascii="Calibri" w:hAnsi="Calibri" w:cs="Arial"/>
        </w:rPr>
        <w:t xml:space="preserve"> </w:t>
      </w:r>
    </w:p>
    <w:p w14:paraId="06ED2F7D" w14:textId="21E1962B" w:rsidR="00846A0F" w:rsidRPr="007478C9" w:rsidRDefault="00846A0F" w:rsidP="007478C9">
      <w:pPr>
        <w:spacing w:before="0" w:after="0" w:line="240" w:lineRule="auto"/>
        <w:ind w:left="567"/>
        <w:jc w:val="both"/>
        <w:rPr>
          <w:rFonts w:ascii="Calibri" w:hAnsi="Calibri" w:cs="Arial"/>
          <w:i/>
        </w:rPr>
      </w:pPr>
    </w:p>
    <w:p w14:paraId="6BBF1B52" w14:textId="0212D616" w:rsidR="00425011" w:rsidRDefault="0058280F" w:rsidP="00D50F99">
      <w:pPr>
        <w:numPr>
          <w:ilvl w:val="1"/>
          <w:numId w:val="2"/>
        </w:numPr>
        <w:spacing w:before="0" w:after="0" w:line="240" w:lineRule="auto"/>
        <w:ind w:left="567" w:hanging="567"/>
        <w:jc w:val="both"/>
        <w:rPr>
          <w:rFonts w:ascii="Calibri" w:hAnsi="Calibri"/>
        </w:rPr>
      </w:pPr>
      <w:r w:rsidRPr="001B28F1">
        <w:rPr>
          <w:rFonts w:ascii="Calibri" w:hAnsi="Calibri" w:cs="Arial"/>
        </w:rPr>
        <w:lastRenderedPageBreak/>
        <w:t xml:space="preserve">The SIP forms part of a governance framework that includes Statutory Regulations, the Pensions Committee, the Pension Board, the Joint Investment </w:t>
      </w:r>
      <w:r w:rsidR="00153B43">
        <w:rPr>
          <w:rFonts w:ascii="Calibri" w:hAnsi="Calibri" w:cs="Arial"/>
        </w:rPr>
        <w:t>Forum</w:t>
      </w:r>
      <w:r w:rsidRPr="001B28F1">
        <w:rPr>
          <w:rFonts w:ascii="Calibri" w:hAnsi="Calibri" w:cs="Arial"/>
        </w:rPr>
        <w:t>, the Fund’</w:t>
      </w:r>
      <w:r w:rsidR="008917EB" w:rsidRPr="001B28F1">
        <w:rPr>
          <w:rFonts w:ascii="Calibri" w:hAnsi="Calibri" w:cs="Arial"/>
        </w:rPr>
        <w:t>s</w:t>
      </w:r>
      <w:r w:rsidRPr="001B28F1">
        <w:rPr>
          <w:rFonts w:ascii="Calibri" w:hAnsi="Calibri" w:cs="Arial"/>
        </w:rPr>
        <w:t xml:space="preserve"> Advisers and the Fund’</w:t>
      </w:r>
      <w:r w:rsidR="008917EB" w:rsidRPr="001B28F1">
        <w:rPr>
          <w:rFonts w:ascii="Calibri" w:hAnsi="Calibri" w:cs="Arial"/>
        </w:rPr>
        <w:t>s</w:t>
      </w:r>
      <w:r w:rsidRPr="001B28F1">
        <w:rPr>
          <w:rFonts w:ascii="Calibri" w:hAnsi="Calibri" w:cs="Arial"/>
        </w:rPr>
        <w:t xml:space="preserve"> Funding Strategy </w:t>
      </w:r>
      <w:r w:rsidR="008917EB" w:rsidRPr="001B28F1">
        <w:rPr>
          <w:rFonts w:ascii="Calibri" w:hAnsi="Calibri" w:cs="Arial"/>
        </w:rPr>
        <w:t>and Governance Compliance Statements</w:t>
      </w:r>
      <w:r w:rsidRPr="001B28F1">
        <w:rPr>
          <w:rFonts w:ascii="Calibri" w:hAnsi="Calibri" w:cs="Arial"/>
        </w:rPr>
        <w:t xml:space="preserve">.   </w:t>
      </w:r>
      <w:r w:rsidRPr="001B28F1">
        <w:rPr>
          <w:rFonts w:ascii="Calibri" w:hAnsi="Calibri"/>
        </w:rPr>
        <w:t xml:space="preserve"> </w:t>
      </w:r>
    </w:p>
    <w:p w14:paraId="5C3CE8C1" w14:textId="77777777" w:rsidR="00807C2D" w:rsidRPr="001B28F1" w:rsidRDefault="00807C2D" w:rsidP="00807C2D">
      <w:pPr>
        <w:spacing w:before="0" w:after="0" w:line="240" w:lineRule="auto"/>
        <w:jc w:val="both"/>
        <w:rPr>
          <w:rFonts w:ascii="Calibri" w:hAnsi="Calibri"/>
        </w:rPr>
      </w:pPr>
    </w:p>
    <w:p w14:paraId="65D4572F" w14:textId="77777777" w:rsidR="00C33AEE" w:rsidRPr="00FE6695" w:rsidRDefault="00C35AAB" w:rsidP="00B71EB2">
      <w:pPr>
        <w:pStyle w:val="Heading1"/>
        <w:ind w:left="567" w:hanging="567"/>
      </w:pPr>
      <w:r>
        <w:t xml:space="preserve">3. </w:t>
      </w:r>
      <w:r w:rsidR="00C65A91">
        <w:t>H</w:t>
      </w:r>
      <w:r w:rsidR="000671D3">
        <w:t xml:space="preserve">IGH LEVEL INVESTMent </w:t>
      </w:r>
      <w:r w:rsidR="00F75E20">
        <w:t>PRINCIPLES</w:t>
      </w:r>
    </w:p>
    <w:p w14:paraId="1E218B4E" w14:textId="77777777" w:rsidR="00F75E20" w:rsidRDefault="00F75E20" w:rsidP="00B71EB2">
      <w:pPr>
        <w:spacing w:before="0" w:after="0" w:line="240" w:lineRule="auto"/>
        <w:ind w:left="567" w:hanging="567"/>
        <w:jc w:val="both"/>
        <w:rPr>
          <w:rFonts w:ascii="Calibri" w:hAnsi="Calibri" w:cs="Arial"/>
          <w:sz w:val="24"/>
          <w:szCs w:val="24"/>
        </w:rPr>
      </w:pPr>
    </w:p>
    <w:p w14:paraId="07E9F207" w14:textId="0C16E410" w:rsidR="00F75E20" w:rsidRPr="000671D3" w:rsidRDefault="00F75E20"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cs="Arial"/>
        </w:rPr>
        <w:t xml:space="preserve">The following principles agreed by the Committee are designed to guide </w:t>
      </w:r>
      <w:r w:rsidR="00283BBA">
        <w:rPr>
          <w:rFonts w:ascii="Calibri" w:hAnsi="Calibri" w:cs="Arial"/>
        </w:rPr>
        <w:t>the Fund’</w:t>
      </w:r>
      <w:r w:rsidR="008917EB">
        <w:rPr>
          <w:rFonts w:ascii="Calibri" w:hAnsi="Calibri" w:cs="Arial"/>
        </w:rPr>
        <w:t>s</w:t>
      </w:r>
      <w:r w:rsidR="00283BBA">
        <w:rPr>
          <w:rFonts w:ascii="Calibri" w:hAnsi="Calibri" w:cs="Arial"/>
        </w:rPr>
        <w:t xml:space="preserve"> governance, </w:t>
      </w:r>
      <w:proofErr w:type="gramStart"/>
      <w:r w:rsidR="00283BBA">
        <w:rPr>
          <w:rFonts w:ascii="Calibri" w:hAnsi="Calibri" w:cs="Arial"/>
        </w:rPr>
        <w:t>strategies</w:t>
      </w:r>
      <w:proofErr w:type="gramEnd"/>
      <w:r w:rsidR="00283BBA">
        <w:rPr>
          <w:rFonts w:ascii="Calibri" w:hAnsi="Calibri" w:cs="Arial"/>
        </w:rPr>
        <w:t xml:space="preserve"> and alignment with </w:t>
      </w:r>
      <w:r w:rsidR="00425011">
        <w:rPr>
          <w:rFonts w:ascii="Calibri" w:hAnsi="Calibri" w:cs="Arial"/>
        </w:rPr>
        <w:t>its</w:t>
      </w:r>
      <w:r w:rsidRPr="000671D3">
        <w:rPr>
          <w:rFonts w:ascii="Calibri" w:hAnsi="Calibri" w:cs="Arial"/>
        </w:rPr>
        <w:t xml:space="preserve"> agents and to support consistency in decision-making over the long term.</w:t>
      </w:r>
    </w:p>
    <w:p w14:paraId="34F69CFB" w14:textId="77777777" w:rsidR="00F75E20" w:rsidRPr="000671D3" w:rsidRDefault="00F75E20" w:rsidP="00B71EB2">
      <w:pPr>
        <w:pStyle w:val="ListParagraph"/>
        <w:spacing w:before="0" w:after="0" w:line="240" w:lineRule="auto"/>
        <w:ind w:left="567" w:hanging="567"/>
        <w:jc w:val="both"/>
        <w:rPr>
          <w:rFonts w:ascii="Calibri" w:hAnsi="Calibri" w:cs="Arial"/>
        </w:rPr>
      </w:pPr>
    </w:p>
    <w:p w14:paraId="73F129FD" w14:textId="07A06991" w:rsidR="00C06EA2" w:rsidRPr="00940464" w:rsidRDefault="00C06EA2"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cs="Arial"/>
          <w:b/>
        </w:rPr>
        <w:t>Committee believes that their decisions, and those of officers, must give precedence to the fiduciary duty owed to members and employers.</w:t>
      </w:r>
      <w:r w:rsidRPr="000671D3">
        <w:rPr>
          <w:rFonts w:ascii="Calibri" w:hAnsi="Calibri" w:cs="Arial"/>
        </w:rPr>
        <w:t xml:space="preserve">  </w:t>
      </w:r>
      <w:r w:rsidR="00F75E20" w:rsidRPr="000671D3">
        <w:rPr>
          <w:rFonts w:ascii="Calibri" w:hAnsi="Calibri" w:cs="Arial"/>
        </w:rPr>
        <w:t xml:space="preserve">Fiduciary duty is paramount. The Pensions Committee recognises the potential conflicts of interests inherent in a local authority administering a multi-employer pension fund.  The objectives of the administering authority, its </w:t>
      </w:r>
      <w:proofErr w:type="gramStart"/>
      <w:r w:rsidR="00F75E20" w:rsidRPr="000671D3">
        <w:rPr>
          <w:rFonts w:ascii="Calibri" w:hAnsi="Calibri" w:cs="Arial"/>
        </w:rPr>
        <w:t>officials</w:t>
      </w:r>
      <w:proofErr w:type="gramEnd"/>
      <w:r w:rsidR="00F75E20" w:rsidRPr="000671D3">
        <w:rPr>
          <w:rFonts w:ascii="Calibri" w:hAnsi="Calibri" w:cs="Arial"/>
        </w:rPr>
        <w:t xml:space="preserve"> and officers and </w:t>
      </w:r>
      <w:r w:rsidR="002B37D5" w:rsidRPr="00E63155">
        <w:rPr>
          <w:rFonts w:ascii="Calibri" w:hAnsi="Calibri" w:cs="Arial"/>
        </w:rPr>
        <w:t>those</w:t>
      </w:r>
      <w:r w:rsidR="00F75E20" w:rsidRPr="000671D3">
        <w:rPr>
          <w:rFonts w:ascii="Calibri" w:hAnsi="Calibri" w:cs="Arial"/>
        </w:rPr>
        <w:t xml:space="preserve"> of the </w:t>
      </w:r>
      <w:r w:rsidR="00EB69EA">
        <w:rPr>
          <w:rFonts w:ascii="Calibri" w:hAnsi="Calibri" w:cs="Arial"/>
        </w:rPr>
        <w:t>F</w:t>
      </w:r>
      <w:r w:rsidR="00F75E20" w:rsidRPr="000671D3">
        <w:rPr>
          <w:rFonts w:ascii="Calibri" w:hAnsi="Calibri" w:cs="Arial"/>
        </w:rPr>
        <w:t xml:space="preserve">und are not necessarily the same. The primary objective is to ensure solvency so that retirement benefits that employers promise to members under scheme rules can be paid when they fall due.   (Legal view on fiduciary duty issued by the Scheme Advisory Board </w:t>
      </w:r>
      <w:r w:rsidRPr="000671D3">
        <w:rPr>
          <w:rFonts w:ascii="Calibri" w:hAnsi="Calibri" w:cs="Arial"/>
        </w:rPr>
        <w:t xml:space="preserve">is available at </w:t>
      </w:r>
      <w:hyperlink r:id="rId11" w:history="1">
        <w:r w:rsidRPr="000671D3">
          <w:rPr>
            <w:rStyle w:val="Hyperlink"/>
            <w:rFonts w:ascii="Calibri" w:hAnsi="Calibri" w:cs="Arial"/>
          </w:rPr>
          <w:t>https://lgpsab.scot/fiduciary-duty-guidance/</w:t>
        </w:r>
      </w:hyperlink>
      <w:r w:rsidR="00283BBA" w:rsidRPr="00283BBA">
        <w:t>.)</w:t>
      </w:r>
    </w:p>
    <w:p w14:paraId="3412F27E" w14:textId="77777777" w:rsidR="00940464" w:rsidRPr="00940464" w:rsidRDefault="00940464" w:rsidP="00940464">
      <w:pPr>
        <w:spacing w:before="0" w:after="0" w:line="240" w:lineRule="auto"/>
        <w:jc w:val="both"/>
        <w:rPr>
          <w:rFonts w:ascii="Calibri" w:hAnsi="Calibri" w:cs="Arial"/>
        </w:rPr>
      </w:pPr>
    </w:p>
    <w:p w14:paraId="55ED9D72" w14:textId="23834158" w:rsidR="00C06EA2" w:rsidRPr="000671D3" w:rsidRDefault="00C06EA2"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cs="Arial"/>
          <w:b/>
        </w:rPr>
        <w:t>Committee believes that the Fund should mitigate risk by ensuring alignment of interests wherever possible.</w:t>
      </w:r>
      <w:r w:rsidRPr="000671D3">
        <w:rPr>
          <w:rFonts w:ascii="Calibri" w:hAnsi="Calibri"/>
          <w:b/>
        </w:rPr>
        <w:t xml:space="preserve">  </w:t>
      </w:r>
      <w:r w:rsidRPr="000671D3">
        <w:rPr>
          <w:rFonts w:ascii="Calibri" w:hAnsi="Calibri"/>
        </w:rPr>
        <w:t xml:space="preserve">Agency costs are high in the financial services industry – agents are often motivated to act in their own best interests rather than those of the principal (the </w:t>
      </w:r>
      <w:r w:rsidRPr="00E63155">
        <w:rPr>
          <w:rFonts w:ascii="Calibri" w:hAnsi="Calibri"/>
        </w:rPr>
        <w:t>Fund).</w:t>
      </w:r>
      <w:r w:rsidRPr="000671D3">
        <w:rPr>
          <w:rFonts w:ascii="Calibri" w:hAnsi="Calibri"/>
        </w:rPr>
        <w:t xml:space="preserve">  Alignment of interests and partnering with similarly aligned organisations will help to address the principal-agency problem to the benefit of the </w:t>
      </w:r>
      <w:r w:rsidRPr="00E63155">
        <w:rPr>
          <w:rFonts w:ascii="Calibri" w:hAnsi="Calibri"/>
        </w:rPr>
        <w:t>Fund and</w:t>
      </w:r>
      <w:r w:rsidRPr="000671D3">
        <w:rPr>
          <w:rFonts w:ascii="Calibri" w:hAnsi="Calibri"/>
        </w:rPr>
        <w:t xml:space="preserve"> </w:t>
      </w:r>
      <w:r w:rsidR="000543EE">
        <w:rPr>
          <w:rFonts w:ascii="Calibri" w:hAnsi="Calibri"/>
        </w:rPr>
        <w:t xml:space="preserve">its </w:t>
      </w:r>
      <w:r w:rsidRPr="000671D3">
        <w:rPr>
          <w:rFonts w:ascii="Calibri" w:hAnsi="Calibri"/>
        </w:rPr>
        <w:t xml:space="preserve">partners. External resources should, therefore, </w:t>
      </w:r>
      <w:r w:rsidR="008917EB">
        <w:rPr>
          <w:rFonts w:ascii="Calibri" w:hAnsi="Calibri"/>
        </w:rPr>
        <w:t xml:space="preserve">only </w:t>
      </w:r>
      <w:r w:rsidRPr="000671D3">
        <w:rPr>
          <w:rFonts w:ascii="Calibri" w:hAnsi="Calibri"/>
        </w:rPr>
        <w:t xml:space="preserve">be used where internal resources cannot be justified or obtained, and where suitable alignment can be established. </w:t>
      </w:r>
    </w:p>
    <w:p w14:paraId="17BDF7CE" w14:textId="77777777" w:rsidR="00C06EA2" w:rsidRPr="000671D3" w:rsidRDefault="00C06EA2" w:rsidP="00B71EB2">
      <w:pPr>
        <w:pStyle w:val="ListParagraph"/>
        <w:ind w:left="567" w:hanging="567"/>
        <w:rPr>
          <w:rFonts w:ascii="Calibri" w:hAnsi="Calibri"/>
          <w:b/>
        </w:rPr>
      </w:pPr>
    </w:p>
    <w:p w14:paraId="6DD8680F" w14:textId="77777777" w:rsidR="00C06EA2" w:rsidRPr="000671D3" w:rsidRDefault="00C06EA2"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cs="Arial"/>
          <w:b/>
        </w:rPr>
        <w:t>Committee believes that it should work with like-minded partners to benefit from increased scale and greater resilience.</w:t>
      </w:r>
      <w:r w:rsidRPr="000671D3">
        <w:rPr>
          <w:rFonts w:ascii="Calibri" w:hAnsi="Calibri"/>
          <w:b/>
        </w:rPr>
        <w:t xml:space="preserve">  </w:t>
      </w:r>
      <w:r w:rsidRPr="000671D3">
        <w:rPr>
          <w:rFonts w:ascii="Calibri" w:hAnsi="Calibri"/>
        </w:rPr>
        <w:t>There are significant economies of scale in the business of managing investments, so working with like-minded partners with similar long-</w:t>
      </w:r>
      <w:r w:rsidR="002B37D5">
        <w:rPr>
          <w:rFonts w:ascii="Calibri" w:hAnsi="Calibri"/>
        </w:rPr>
        <w:t>term objectives and liabilities</w:t>
      </w:r>
      <w:r w:rsidRPr="000671D3">
        <w:rPr>
          <w:rFonts w:ascii="Calibri" w:hAnsi="Calibri"/>
        </w:rPr>
        <w:t xml:space="preserve"> can achieve lower costs and reduce operational risks with increased resilience.  </w:t>
      </w:r>
    </w:p>
    <w:p w14:paraId="221CF991" w14:textId="77777777" w:rsidR="00C06EA2" w:rsidRPr="000671D3" w:rsidRDefault="00C06EA2" w:rsidP="00B71EB2">
      <w:pPr>
        <w:pStyle w:val="ListParagraph"/>
        <w:ind w:left="567" w:hanging="567"/>
        <w:rPr>
          <w:rFonts w:ascii="Calibri" w:hAnsi="Calibri"/>
          <w:b/>
        </w:rPr>
      </w:pPr>
    </w:p>
    <w:p w14:paraId="4C9EFBBA" w14:textId="5475EB4E" w:rsidR="00C06EA2" w:rsidRPr="000671D3" w:rsidRDefault="00C06EA2"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cs="Arial"/>
          <w:b/>
        </w:rPr>
        <w:t>Committee believes that cost transparency aids decision-making.</w:t>
      </w:r>
      <w:r w:rsidRPr="000671D3">
        <w:rPr>
          <w:rFonts w:ascii="Calibri" w:hAnsi="Calibri"/>
          <w:b/>
        </w:rPr>
        <w:t xml:space="preserve"> </w:t>
      </w:r>
      <w:r w:rsidRPr="000671D3">
        <w:rPr>
          <w:rFonts w:ascii="Calibri" w:hAnsi="Calibri"/>
        </w:rPr>
        <w:t xml:space="preserve">The asymmetric structure of incentives in financial markets (upside participation in success without downside participation in failure) encourages strategies that may benefit agents (external managers and other financial intermediaries) </w:t>
      </w:r>
      <w:r w:rsidR="008A6E2D">
        <w:rPr>
          <w:rFonts w:ascii="Calibri" w:hAnsi="Calibri"/>
        </w:rPr>
        <w:t>and be detrimental to investor (</w:t>
      </w:r>
      <w:r w:rsidRPr="000671D3">
        <w:rPr>
          <w:rFonts w:ascii="Calibri" w:hAnsi="Calibri"/>
        </w:rPr>
        <w:t xml:space="preserve">Fund) returns. Agents often present fees and other charges in a way that obscures rather than illuminates. </w:t>
      </w:r>
      <w:r w:rsidR="002B37D5">
        <w:rPr>
          <w:rFonts w:ascii="Calibri" w:hAnsi="Calibri"/>
        </w:rPr>
        <w:t xml:space="preserve">  </w:t>
      </w:r>
      <w:r w:rsidRPr="000671D3">
        <w:rPr>
          <w:rFonts w:ascii="Calibri" w:hAnsi="Calibri"/>
        </w:rPr>
        <w:t>Full cost transparency should aid decision-making and so benefit Fund returns.</w:t>
      </w:r>
    </w:p>
    <w:p w14:paraId="0A2BF66D" w14:textId="77777777" w:rsidR="00C06EA2" w:rsidRPr="000671D3" w:rsidRDefault="00C06EA2" w:rsidP="00B71EB2">
      <w:pPr>
        <w:pStyle w:val="ListParagraph"/>
        <w:ind w:left="567" w:hanging="567"/>
        <w:rPr>
          <w:rFonts w:ascii="Calibri" w:hAnsi="Calibri"/>
          <w:b/>
        </w:rPr>
      </w:pPr>
    </w:p>
    <w:p w14:paraId="53995DA2" w14:textId="18A03D9F" w:rsidR="00B71EB2" w:rsidRPr="000671D3" w:rsidRDefault="00C06EA2"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cs="Arial"/>
          <w:b/>
        </w:rPr>
        <w:t>Committee believes it should focus on policy setting, including high-level strategic asset allocation which defines risk and return objectives, with appropriate governance structure and oversight.</w:t>
      </w:r>
      <w:r w:rsidRPr="000671D3">
        <w:rPr>
          <w:rFonts w:ascii="Calibri" w:hAnsi="Calibri"/>
        </w:rPr>
        <w:t xml:space="preserve">  Implementation of more granular investment decisions (such as the </w:t>
      </w:r>
      <w:r w:rsidRPr="00E63155">
        <w:rPr>
          <w:rFonts w:ascii="Calibri" w:hAnsi="Calibri"/>
        </w:rPr>
        <w:t>selection</w:t>
      </w:r>
      <w:r w:rsidR="00F336F8" w:rsidRPr="00E63155">
        <w:rPr>
          <w:rFonts w:ascii="Calibri" w:hAnsi="Calibri"/>
        </w:rPr>
        <w:t>/deselection</w:t>
      </w:r>
      <w:r w:rsidRPr="00E63155">
        <w:rPr>
          <w:rFonts w:ascii="Calibri" w:hAnsi="Calibri"/>
        </w:rPr>
        <w:t xml:space="preserve"> of individual</w:t>
      </w:r>
      <w:r w:rsidRPr="000671D3">
        <w:rPr>
          <w:rFonts w:ascii="Calibri" w:hAnsi="Calibri"/>
        </w:rPr>
        <w:t xml:space="preserve"> managers and investments) and regular monitoring should be delegated to suitably qualified and experienced individuals with sufficient time and other resources at their disposal.  Appropriate delegation, constraints and reporting requirements should be in place.  Reporting to Committee should focus on the long-term objectives of the Fund</w:t>
      </w:r>
      <w:r w:rsidR="00FF78D6">
        <w:rPr>
          <w:rFonts w:ascii="Calibri" w:hAnsi="Calibri"/>
        </w:rPr>
        <w:t xml:space="preserve"> and how delegated decisions </w:t>
      </w:r>
      <w:r w:rsidR="000A4376">
        <w:rPr>
          <w:rFonts w:ascii="Calibri" w:hAnsi="Calibri"/>
        </w:rPr>
        <w:t>h</w:t>
      </w:r>
      <w:r w:rsidR="00CE25FE">
        <w:rPr>
          <w:rFonts w:ascii="Calibri" w:hAnsi="Calibri"/>
        </w:rPr>
        <w:t>a</w:t>
      </w:r>
      <w:r w:rsidR="000A4376">
        <w:rPr>
          <w:rFonts w:ascii="Calibri" w:hAnsi="Calibri"/>
        </w:rPr>
        <w:t>v</w:t>
      </w:r>
      <w:r w:rsidR="00CE25FE">
        <w:rPr>
          <w:rFonts w:ascii="Calibri" w:hAnsi="Calibri"/>
        </w:rPr>
        <w:t>e contributed to these</w:t>
      </w:r>
      <w:r w:rsidRPr="000671D3">
        <w:rPr>
          <w:rFonts w:ascii="Calibri" w:hAnsi="Calibri"/>
        </w:rPr>
        <w:t xml:space="preserve">.  </w:t>
      </w:r>
    </w:p>
    <w:p w14:paraId="3DA9E5DF" w14:textId="77777777" w:rsidR="00B71EB2" w:rsidRPr="000671D3" w:rsidRDefault="00B71EB2" w:rsidP="00B71EB2">
      <w:pPr>
        <w:pStyle w:val="ListParagraph"/>
        <w:ind w:left="567" w:hanging="567"/>
        <w:rPr>
          <w:rFonts w:ascii="Calibri" w:hAnsi="Calibri"/>
          <w:b/>
        </w:rPr>
      </w:pPr>
    </w:p>
    <w:p w14:paraId="39E46392" w14:textId="7C940E30" w:rsidR="00B71EB2" w:rsidRPr="000671D3" w:rsidRDefault="00B71EB2"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cs="Arial"/>
          <w:b/>
        </w:rPr>
        <w:t>Given future uncertainties, the funding strategy should be prudent</w:t>
      </w:r>
      <w:r w:rsidRPr="000671D3">
        <w:rPr>
          <w:rFonts w:ascii="Calibri" w:hAnsi="Calibri"/>
        </w:rPr>
        <w:t>.  The Funding Strategy Statement expresses the funding objective, which informs the invested strategy options.  The ultimate objective is to ensure solvency so that retirement benefits that employers promise to members under scheme rules</w:t>
      </w:r>
      <w:r w:rsidR="008A6E2D">
        <w:rPr>
          <w:rFonts w:ascii="Calibri" w:hAnsi="Calibri"/>
        </w:rPr>
        <w:t xml:space="preserve"> can be paid when they fall due, so </w:t>
      </w:r>
      <w:r w:rsidRPr="000671D3">
        <w:rPr>
          <w:rFonts w:ascii="Calibri" w:hAnsi="Calibri"/>
        </w:rPr>
        <w:t>full funding should be a</w:t>
      </w:r>
      <w:r w:rsidR="008A6E2D">
        <w:rPr>
          <w:rFonts w:ascii="Calibri" w:hAnsi="Calibri"/>
        </w:rPr>
        <w:t xml:space="preserve">chieved </w:t>
      </w:r>
      <w:r w:rsidR="008A6E2D">
        <w:rPr>
          <w:rFonts w:ascii="Calibri" w:hAnsi="Calibri"/>
        </w:rPr>
        <w:lastRenderedPageBreak/>
        <w:t>in a prudent manner to ensure that</w:t>
      </w:r>
      <w:r w:rsidRPr="000671D3">
        <w:rPr>
          <w:rFonts w:ascii="Calibri" w:hAnsi="Calibri"/>
        </w:rPr>
        <w:t xml:space="preserve"> liquid assets are available</w:t>
      </w:r>
      <w:r w:rsidR="008A6E2D">
        <w:rPr>
          <w:rFonts w:ascii="Calibri" w:hAnsi="Calibri"/>
        </w:rPr>
        <w:t xml:space="preserve"> at the required time.  </w:t>
      </w:r>
      <w:r w:rsidRPr="000671D3">
        <w:rPr>
          <w:rFonts w:ascii="Calibri" w:hAnsi="Calibri"/>
        </w:rPr>
        <w:t>This is important for members, employers and taxpaye</w:t>
      </w:r>
      <w:r w:rsidR="00F336F8">
        <w:rPr>
          <w:rFonts w:ascii="Calibri" w:hAnsi="Calibri"/>
        </w:rPr>
        <w:t xml:space="preserve">rs as the scheme is ultimately </w:t>
      </w:r>
      <w:r w:rsidR="00E579FD">
        <w:rPr>
          <w:rFonts w:ascii="Calibri" w:hAnsi="Calibri"/>
        </w:rPr>
        <w:t>s</w:t>
      </w:r>
      <w:r w:rsidR="00E579FD" w:rsidRPr="00F336F8">
        <w:rPr>
          <w:rFonts w:ascii="Calibri" w:hAnsi="Calibri"/>
        </w:rPr>
        <w:t>tate</w:t>
      </w:r>
      <w:r w:rsidR="00E579FD" w:rsidRPr="000671D3">
        <w:rPr>
          <w:rFonts w:ascii="Calibri" w:hAnsi="Calibri"/>
        </w:rPr>
        <w:t xml:space="preserve"> backed</w:t>
      </w:r>
      <w:r w:rsidRPr="000671D3">
        <w:rPr>
          <w:rFonts w:ascii="Calibri" w:hAnsi="Calibri"/>
        </w:rPr>
        <w:t>.</w:t>
      </w:r>
    </w:p>
    <w:p w14:paraId="09CC9D6D" w14:textId="77777777" w:rsidR="00B71EB2" w:rsidRPr="000671D3" w:rsidRDefault="00B71EB2" w:rsidP="00B71EB2">
      <w:pPr>
        <w:pStyle w:val="ListParagraph"/>
        <w:ind w:left="567" w:hanging="567"/>
        <w:rPr>
          <w:rFonts w:ascii="Calibri" w:hAnsi="Calibri"/>
          <w:b/>
        </w:rPr>
      </w:pPr>
    </w:p>
    <w:p w14:paraId="2F1D62A8" w14:textId="5CDB82C6" w:rsidR="00783633" w:rsidRPr="00783633" w:rsidRDefault="00B71EB2" w:rsidP="00EB35F1">
      <w:pPr>
        <w:pStyle w:val="ListParagraph"/>
        <w:numPr>
          <w:ilvl w:val="1"/>
          <w:numId w:val="3"/>
        </w:numPr>
        <w:spacing w:before="0" w:after="0" w:line="240" w:lineRule="auto"/>
        <w:ind w:left="567" w:hanging="567"/>
        <w:jc w:val="both"/>
        <w:rPr>
          <w:rFonts w:ascii="Calibri" w:hAnsi="Calibri" w:cs="Arial"/>
        </w:rPr>
      </w:pPr>
      <w:r w:rsidRPr="000671D3">
        <w:rPr>
          <w:rFonts w:ascii="Calibri" w:hAnsi="Calibri"/>
          <w:b/>
          <w:bCs/>
          <w:color w:val="000000"/>
        </w:rPr>
        <w:t>Committee believes that the ability of the Fund to pay pension benefits when they fall due is more important that mark-to-market funding levels.</w:t>
      </w:r>
      <w:r w:rsidRPr="000671D3">
        <w:rPr>
          <w:rFonts w:ascii="Calibri" w:hAnsi="Calibri"/>
          <w:bCs/>
          <w:color w:val="000000"/>
        </w:rPr>
        <w:t xml:space="preserve">  Committee recognises that the measurement of the value of promised benefits in a defined benefit scheme is the subject of controversy.  Committee believes that where employer circumstances allow, investment strategy should focus on delivering strong (real) returns that grow to cover cashflows over the longer term rather than focusing on </w:t>
      </w:r>
      <w:r w:rsidRPr="000671D3">
        <w:rPr>
          <w:rFonts w:ascii="Calibri" w:hAnsi="Calibri"/>
        </w:rPr>
        <w:t>protecting the funding level in the short term.</w:t>
      </w:r>
      <w:r w:rsidR="008A6E2D">
        <w:rPr>
          <w:rFonts w:ascii="Calibri" w:hAnsi="Calibri"/>
        </w:rPr>
        <w:t xml:space="preserve"> </w:t>
      </w:r>
    </w:p>
    <w:p w14:paraId="155E84DA" w14:textId="77777777" w:rsidR="00783633" w:rsidRPr="00783633" w:rsidRDefault="00783633" w:rsidP="00783633">
      <w:pPr>
        <w:pStyle w:val="ListParagraph"/>
        <w:rPr>
          <w:rFonts w:ascii="Calibri" w:hAnsi="Calibri"/>
          <w:b/>
          <w:color w:val="000000"/>
          <w:shd w:val="clear" w:color="auto" w:fill="FFFFFF"/>
        </w:rPr>
      </w:pPr>
    </w:p>
    <w:p w14:paraId="661B4D0D" w14:textId="77777777" w:rsidR="00783633" w:rsidRPr="00783633" w:rsidRDefault="00B71EB2" w:rsidP="00EB35F1">
      <w:pPr>
        <w:pStyle w:val="ListParagraph"/>
        <w:numPr>
          <w:ilvl w:val="1"/>
          <w:numId w:val="3"/>
        </w:numPr>
        <w:spacing w:before="0" w:after="0" w:line="240" w:lineRule="auto"/>
        <w:ind w:left="567" w:hanging="567"/>
        <w:jc w:val="both"/>
        <w:rPr>
          <w:rFonts w:ascii="Calibri" w:hAnsi="Calibri" w:cs="Arial"/>
        </w:rPr>
      </w:pPr>
      <w:r w:rsidRPr="00783633">
        <w:rPr>
          <w:rFonts w:ascii="Calibri" w:hAnsi="Calibri"/>
          <w:b/>
          <w:color w:val="000000"/>
          <w:shd w:val="clear" w:color="auto" w:fill="FFFFFF"/>
        </w:rPr>
        <w:t xml:space="preserve">Committee believes ‘return-seeking’ assets are likely to outperform ‘risk-free’ assets as the investment horizon lengthens, but this is not guaranteed.   </w:t>
      </w:r>
      <w:r w:rsidRPr="00783633">
        <w:rPr>
          <w:rFonts w:ascii="Calibri" w:hAnsi="Calibri"/>
        </w:rPr>
        <w:t xml:space="preserve">Time horizons matter a great deal.  The appropriate horizon for investment risk-taking depends on the duration of the liabilities, the profile of projected cash flows and the deficit recovery and contingency plans for the scheme (the sponsor covenant).  </w:t>
      </w:r>
    </w:p>
    <w:p w14:paraId="4067CBDB" w14:textId="77777777" w:rsidR="00783633" w:rsidRPr="00783633" w:rsidRDefault="00783633" w:rsidP="00783633">
      <w:pPr>
        <w:pStyle w:val="ListParagraph"/>
        <w:rPr>
          <w:rFonts w:ascii="Calibri" w:hAnsi="Calibri"/>
          <w:b/>
        </w:rPr>
      </w:pPr>
    </w:p>
    <w:p w14:paraId="69046C1E" w14:textId="03C85866" w:rsidR="00783633" w:rsidRPr="003B60C1" w:rsidRDefault="00B71EB2" w:rsidP="00EB35F1">
      <w:pPr>
        <w:pStyle w:val="ListParagraph"/>
        <w:numPr>
          <w:ilvl w:val="1"/>
          <w:numId w:val="3"/>
        </w:numPr>
        <w:spacing w:before="0" w:after="0" w:line="240" w:lineRule="auto"/>
        <w:ind w:left="567" w:hanging="567"/>
        <w:jc w:val="both"/>
        <w:rPr>
          <w:rFonts w:ascii="Calibri" w:hAnsi="Calibri" w:cs="Arial"/>
        </w:rPr>
      </w:pPr>
      <w:r w:rsidRPr="00783633">
        <w:rPr>
          <w:rFonts w:ascii="Calibri" w:hAnsi="Calibri"/>
          <w:b/>
        </w:rPr>
        <w:t xml:space="preserve">Committee believes in owning a diversified portfolio of assets so that it is not overly exposed to any </w:t>
      </w:r>
      <w:proofErr w:type="gramStart"/>
      <w:r w:rsidRPr="00783633">
        <w:rPr>
          <w:rFonts w:ascii="Calibri" w:hAnsi="Calibri"/>
          <w:b/>
        </w:rPr>
        <w:t>particular contingency</w:t>
      </w:r>
      <w:proofErr w:type="gramEnd"/>
      <w:r w:rsidRPr="00783633">
        <w:rPr>
          <w:rFonts w:ascii="Calibri" w:hAnsi="Calibri"/>
          <w:b/>
        </w:rPr>
        <w:t xml:space="preserve">.  </w:t>
      </w:r>
      <w:r w:rsidRPr="00783633">
        <w:rPr>
          <w:rFonts w:ascii="Calibri" w:hAnsi="Calibri"/>
        </w:rPr>
        <w:t>Asset diversification can reduce risk where assets are not correlated.</w:t>
      </w:r>
      <w:r w:rsidR="008A6E2D">
        <w:rPr>
          <w:rFonts w:ascii="Calibri" w:hAnsi="Calibri"/>
        </w:rPr>
        <w:t xml:space="preserve"> </w:t>
      </w:r>
      <w:r w:rsidRPr="00783633">
        <w:rPr>
          <w:rFonts w:ascii="Calibri" w:hAnsi="Calibri"/>
        </w:rPr>
        <w:t xml:space="preserve"> Committee recognises that the future is unpredictable and that real returns from investments are uncertain.  Fund returns will be determined primarily by the high-level investment strategy allocation to different asset classes and the timing of material changes.  A</w:t>
      </w:r>
      <w:r w:rsidRPr="00783633">
        <w:rPr>
          <w:rFonts w:ascii="Calibri" w:hAnsi="Calibri"/>
          <w:color w:val="000000"/>
          <w:shd w:val="clear" w:color="auto" w:fill="FFFFFF"/>
        </w:rPr>
        <w:t>sset allocation balances diversified risks with the expected additional returns for these risks.</w:t>
      </w:r>
    </w:p>
    <w:p w14:paraId="26FE3FCD" w14:textId="77777777" w:rsidR="003B60C1" w:rsidRPr="003B60C1" w:rsidRDefault="003B60C1" w:rsidP="003B60C1">
      <w:pPr>
        <w:pStyle w:val="ListParagraph"/>
        <w:rPr>
          <w:rFonts w:ascii="Calibri" w:hAnsi="Calibri" w:cs="Arial"/>
        </w:rPr>
      </w:pPr>
    </w:p>
    <w:p w14:paraId="0CFF9B32" w14:textId="60BA4A16" w:rsidR="003B60C1" w:rsidRPr="003B60C1" w:rsidRDefault="003B60C1" w:rsidP="003B60C1">
      <w:pPr>
        <w:pStyle w:val="ListParagraph"/>
        <w:numPr>
          <w:ilvl w:val="1"/>
          <w:numId w:val="3"/>
        </w:numPr>
        <w:spacing w:before="0" w:after="0" w:line="240" w:lineRule="auto"/>
        <w:ind w:left="567" w:hanging="567"/>
        <w:jc w:val="both"/>
        <w:rPr>
          <w:rFonts w:ascii="Calibri" w:hAnsi="Calibri" w:cs="Arial"/>
        </w:rPr>
      </w:pPr>
      <w:r w:rsidRPr="003B60C1">
        <w:rPr>
          <w:rFonts w:ascii="Calibri" w:hAnsi="Calibri"/>
          <w:b/>
        </w:rPr>
        <w:t>Committee believes that responsible investment should reduce risk and may improve returns</w:t>
      </w:r>
      <w:r w:rsidR="006D5F9F">
        <w:rPr>
          <w:rFonts w:ascii="Calibri" w:hAnsi="Calibri"/>
          <w:b/>
        </w:rPr>
        <w:t>, but that mechanistic divestment is inconsistent with the Fund’s fiduciary duty to members and employers</w:t>
      </w:r>
      <w:r w:rsidRPr="003B60C1">
        <w:rPr>
          <w:rFonts w:ascii="Calibri" w:hAnsi="Calibri"/>
          <w:b/>
        </w:rPr>
        <w:t xml:space="preserve">.  </w:t>
      </w:r>
      <w:r w:rsidRPr="003B60C1">
        <w:rPr>
          <w:rFonts w:ascii="Calibri" w:hAnsi="Calibri"/>
        </w:rPr>
        <w:t xml:space="preserve">The Local Government Pension Scheme (LGPS) was designed with an important social purpose in mind – the provision of retirement income for individuals. The Fund’s fiduciary duty means that the pursuit of financial return is its paramount concern, although it may also take purely non-financial considerations into account provided that doing so would not involve significant risk of financial detriment.  Committee believes that investment should involve a holistic approach to analysis and decision-making that considers sustainability and financially material risks, including environmental (such as climate change), social and governance issues.  Committee agreed to a Statement of Responsible Investment Principles (SRIP) in </w:t>
      </w:r>
      <w:r w:rsidR="00BF4285" w:rsidRPr="006D5F9F">
        <w:rPr>
          <w:rFonts w:ascii="Calibri" w:hAnsi="Calibri"/>
        </w:rPr>
        <w:t>December</w:t>
      </w:r>
      <w:r w:rsidRPr="006D5F9F">
        <w:rPr>
          <w:rFonts w:ascii="Calibri" w:hAnsi="Calibri"/>
        </w:rPr>
        <w:t xml:space="preserve"> 2020.</w:t>
      </w:r>
      <w:r>
        <w:rPr>
          <w:rFonts w:ascii="Calibri" w:hAnsi="Calibri"/>
        </w:rPr>
        <w:br/>
      </w:r>
    </w:p>
    <w:p w14:paraId="59ECF538" w14:textId="33BE1C89" w:rsidR="003B60C1" w:rsidRPr="003B60C1" w:rsidRDefault="003B60C1" w:rsidP="003B60C1">
      <w:pPr>
        <w:pStyle w:val="ListParagraph"/>
        <w:numPr>
          <w:ilvl w:val="1"/>
          <w:numId w:val="3"/>
        </w:numPr>
        <w:spacing w:before="0" w:after="0" w:line="240" w:lineRule="auto"/>
        <w:ind w:left="567" w:hanging="567"/>
        <w:jc w:val="both"/>
        <w:rPr>
          <w:rFonts w:ascii="Calibri" w:hAnsi="Calibri" w:cs="Arial"/>
        </w:rPr>
      </w:pPr>
      <w:r w:rsidRPr="003B60C1">
        <w:rPr>
          <w:rFonts w:ascii="Calibri" w:hAnsi="Calibri"/>
          <w:b/>
        </w:rPr>
        <w:t xml:space="preserve">Committee believes it should exercise its ownership rights in a responsible way, constructively engaging with companies to reduce risk, rather than divesting.    </w:t>
      </w:r>
      <w:r w:rsidRPr="003B60C1">
        <w:rPr>
          <w:rFonts w:ascii="Calibri" w:hAnsi="Calibri"/>
        </w:rPr>
        <w:t xml:space="preserve">The Fund’s interests are better protected from adverse impacts by collaborating with like-minded investors to have greater influence in engaging with companies, </w:t>
      </w:r>
      <w:r w:rsidR="00E579FD" w:rsidRPr="003B60C1">
        <w:rPr>
          <w:rFonts w:ascii="Calibri" w:hAnsi="Calibri"/>
        </w:rPr>
        <w:t>government,</w:t>
      </w:r>
      <w:r w:rsidRPr="003B60C1">
        <w:rPr>
          <w:rFonts w:ascii="Calibri" w:hAnsi="Calibri"/>
        </w:rPr>
        <w:t xml:space="preserve"> and regulators.  Engagement is preferred rather than mechanistic divestment because it is consistent with the Fund’s fiduciary duty to members and employers, and it encourages responsible behaviour by companies in relation to environmental,</w:t>
      </w:r>
      <w:r w:rsidR="003B53F8">
        <w:rPr>
          <w:rFonts w:ascii="Calibri" w:hAnsi="Calibri"/>
        </w:rPr>
        <w:t xml:space="preserve"> climate change,</w:t>
      </w:r>
      <w:r w:rsidRPr="003B60C1">
        <w:rPr>
          <w:rFonts w:ascii="Calibri" w:hAnsi="Calibri"/>
        </w:rPr>
        <w:t xml:space="preserve"> social and governance issues.   The SRIP gives further details and </w:t>
      </w:r>
      <w:r w:rsidRPr="003B60C1">
        <w:rPr>
          <w:rFonts w:ascii="Calibri" w:hAnsi="Calibri" w:cs="Arial"/>
        </w:rPr>
        <w:t>does allow for possible divestment where material risks remain following engagement activity.</w:t>
      </w:r>
      <w:r>
        <w:rPr>
          <w:rFonts w:ascii="Calibri" w:hAnsi="Calibri" w:cs="Arial"/>
        </w:rPr>
        <w:br/>
      </w:r>
    </w:p>
    <w:p w14:paraId="625F08AD" w14:textId="77777777" w:rsidR="006D5F9F" w:rsidRPr="006D5F9F" w:rsidRDefault="00B71EB2" w:rsidP="006D5F9F">
      <w:pPr>
        <w:pStyle w:val="ListParagraph"/>
        <w:numPr>
          <w:ilvl w:val="1"/>
          <w:numId w:val="3"/>
        </w:numPr>
        <w:spacing w:before="0" w:after="0" w:line="240" w:lineRule="auto"/>
        <w:ind w:left="567" w:hanging="567"/>
        <w:jc w:val="both"/>
        <w:rPr>
          <w:rFonts w:ascii="Calibri" w:hAnsi="Calibri" w:cs="Arial"/>
        </w:rPr>
      </w:pPr>
      <w:r w:rsidRPr="00FB282D">
        <w:rPr>
          <w:rFonts w:ascii="Calibri" w:eastAsia="Times New Roman" w:hAnsi="Calibri"/>
          <w:b/>
        </w:rPr>
        <w:t xml:space="preserve">Committee believes that monitoring and assessment of investment success should be viewed on a long-term basis.   </w:t>
      </w:r>
      <w:r w:rsidRPr="00FB282D">
        <w:rPr>
          <w:rFonts w:ascii="Calibri" w:hAnsi="Calibri"/>
        </w:rPr>
        <w:t xml:space="preserve">No asset mix provides a stream of cash flows that perfectly matches the liability payments of the Fund as they fall due, so monitoring activity is complex.  </w:t>
      </w:r>
      <w:r w:rsidRPr="00FB282D">
        <w:rPr>
          <w:rFonts w:ascii="Calibri" w:eastAsia="Times New Roman" w:hAnsi="Calibri"/>
        </w:rPr>
        <w:t xml:space="preserve">The Fund is long </w:t>
      </w:r>
      <w:r w:rsidRPr="003B60C1">
        <w:rPr>
          <w:rFonts w:ascii="Calibri" w:eastAsia="Times New Roman" w:hAnsi="Calibri"/>
        </w:rPr>
        <w:t xml:space="preserve">term in nature and the success of a given investment strategy is likely to ebb and flow with changing investment environments in an unpredictable way.  </w:t>
      </w:r>
      <w:r w:rsidRPr="003B60C1">
        <w:rPr>
          <w:rFonts w:ascii="Calibri" w:hAnsi="Calibri"/>
        </w:rPr>
        <w:t xml:space="preserve">Investment monitoring is challenging and should be viewed through a long-term lens. </w:t>
      </w:r>
      <w:r w:rsidR="00B56936" w:rsidRPr="003B60C1">
        <w:rPr>
          <w:rFonts w:ascii="Calibri" w:hAnsi="Calibri"/>
        </w:rPr>
        <w:t xml:space="preserve"> </w:t>
      </w:r>
    </w:p>
    <w:p w14:paraId="1BA433E2" w14:textId="77777777" w:rsidR="006D5F9F" w:rsidRPr="006D5F9F" w:rsidRDefault="006D5F9F" w:rsidP="006D5F9F">
      <w:pPr>
        <w:pStyle w:val="ListParagraph"/>
        <w:spacing w:before="0" w:after="0" w:line="240" w:lineRule="auto"/>
        <w:ind w:left="567"/>
        <w:jc w:val="both"/>
        <w:rPr>
          <w:rFonts w:ascii="Calibri" w:hAnsi="Calibri" w:cs="Arial"/>
        </w:rPr>
      </w:pPr>
    </w:p>
    <w:p w14:paraId="442D213E" w14:textId="2A8F9BF6" w:rsidR="00334A8E" w:rsidRPr="006D5F9F" w:rsidRDefault="00B71EB2" w:rsidP="006D5F9F">
      <w:pPr>
        <w:pStyle w:val="ListParagraph"/>
        <w:numPr>
          <w:ilvl w:val="1"/>
          <w:numId w:val="3"/>
        </w:numPr>
        <w:spacing w:before="0" w:after="0" w:line="240" w:lineRule="auto"/>
        <w:ind w:left="567" w:hanging="567"/>
        <w:jc w:val="both"/>
        <w:rPr>
          <w:rFonts w:ascii="Calibri" w:hAnsi="Calibri" w:cs="Arial"/>
        </w:rPr>
      </w:pPr>
      <w:r w:rsidRPr="006D5F9F">
        <w:rPr>
          <w:rFonts w:eastAsia="Times New Roman"/>
          <w:b/>
        </w:rPr>
        <w:t xml:space="preserve">Committee believes that peer group comparative analysis needs to be treated with care.    </w:t>
      </w:r>
      <w:r w:rsidRPr="006D5F9F">
        <w:rPr>
          <w:rFonts w:eastAsia="Times New Roman"/>
        </w:rPr>
        <w:t>No two pension funds are identical, so peer group analysis should be undertaken with care as different funds hold different investment beliefs, objectives and return and risk appetites.</w:t>
      </w:r>
      <w:r w:rsidR="00B56936" w:rsidRPr="006D5F9F">
        <w:rPr>
          <w:rFonts w:eastAsia="Times New Roman"/>
        </w:rPr>
        <w:t xml:space="preserve">  </w:t>
      </w:r>
      <w:r w:rsidR="00334A8E" w:rsidRPr="006D5F9F">
        <w:rPr>
          <w:rFonts w:ascii="Calibri" w:hAnsi="Calibri" w:cs="Arial"/>
          <w:highlight w:val="cyan"/>
        </w:rPr>
        <w:br w:type="page"/>
      </w:r>
    </w:p>
    <w:p w14:paraId="6214376A" w14:textId="77777777" w:rsidR="00C33AEE" w:rsidRPr="00FE6695" w:rsidRDefault="00C35AAB" w:rsidP="00B71EB2">
      <w:pPr>
        <w:pStyle w:val="Heading1"/>
        <w:ind w:left="567" w:hanging="567"/>
      </w:pPr>
      <w:r>
        <w:lastRenderedPageBreak/>
        <w:t xml:space="preserve">4. </w:t>
      </w:r>
      <w:r w:rsidR="0022780B">
        <w:t xml:space="preserve">responsible investment </w:t>
      </w:r>
    </w:p>
    <w:p w14:paraId="3C9EBFD0" w14:textId="77777777" w:rsidR="0022780B" w:rsidRPr="000671D3" w:rsidRDefault="0022780B" w:rsidP="0022780B">
      <w:pPr>
        <w:spacing w:before="0" w:after="0" w:line="240" w:lineRule="auto"/>
        <w:ind w:left="567" w:hanging="567"/>
        <w:jc w:val="both"/>
        <w:rPr>
          <w:rFonts w:ascii="Calibri" w:hAnsi="Calibri" w:cs="Arial"/>
        </w:rPr>
      </w:pPr>
    </w:p>
    <w:p w14:paraId="5E6FCE07" w14:textId="023FC2D4" w:rsidR="001444CC" w:rsidRDefault="00965491" w:rsidP="00EB35F1">
      <w:pPr>
        <w:pStyle w:val="ListParagraph"/>
        <w:numPr>
          <w:ilvl w:val="1"/>
          <w:numId w:val="4"/>
        </w:numPr>
        <w:spacing w:before="0" w:after="0" w:line="240" w:lineRule="auto"/>
        <w:ind w:left="567" w:hanging="567"/>
        <w:jc w:val="both"/>
        <w:rPr>
          <w:rFonts w:ascii="Calibri" w:hAnsi="Calibri" w:cs="Arial"/>
        </w:rPr>
      </w:pPr>
      <w:bookmarkStart w:id="0" w:name="_Hlk529455094"/>
      <w:r>
        <w:rPr>
          <w:rFonts w:ascii="Calibri" w:hAnsi="Calibri" w:cs="Arial"/>
        </w:rPr>
        <w:t xml:space="preserve">With liabilities extending decades into the future, </w:t>
      </w:r>
      <w:r w:rsidR="002A5728">
        <w:rPr>
          <w:rFonts w:ascii="Calibri" w:hAnsi="Calibri" w:cs="Arial"/>
        </w:rPr>
        <w:t xml:space="preserve">it is in </w:t>
      </w:r>
      <w:r>
        <w:rPr>
          <w:rFonts w:ascii="Calibri" w:hAnsi="Calibri" w:cs="Arial"/>
        </w:rPr>
        <w:t>the Fund</w:t>
      </w:r>
      <w:r w:rsidR="002A5728">
        <w:rPr>
          <w:rFonts w:ascii="Calibri" w:hAnsi="Calibri" w:cs="Arial"/>
        </w:rPr>
        <w:t>’</w:t>
      </w:r>
      <w:r w:rsidR="003B4F75">
        <w:rPr>
          <w:rFonts w:ascii="Calibri" w:hAnsi="Calibri" w:cs="Arial"/>
        </w:rPr>
        <w:t>s</w:t>
      </w:r>
      <w:r>
        <w:rPr>
          <w:rFonts w:ascii="Calibri" w:hAnsi="Calibri" w:cs="Arial"/>
        </w:rPr>
        <w:t xml:space="preserve"> interests</w:t>
      </w:r>
      <w:r w:rsidR="002A5728">
        <w:rPr>
          <w:rFonts w:ascii="Calibri" w:hAnsi="Calibri" w:cs="Arial"/>
        </w:rPr>
        <w:t xml:space="preserve"> to take </w:t>
      </w:r>
      <w:r w:rsidR="003B4F75">
        <w:rPr>
          <w:rFonts w:ascii="Calibri" w:hAnsi="Calibri" w:cs="Arial"/>
        </w:rPr>
        <w:t>its</w:t>
      </w:r>
      <w:r w:rsidR="002A5728">
        <w:rPr>
          <w:rFonts w:ascii="Calibri" w:hAnsi="Calibri" w:cs="Arial"/>
        </w:rPr>
        <w:t xml:space="preserve"> responsibilities as </w:t>
      </w:r>
      <w:r w:rsidR="003B4F75">
        <w:rPr>
          <w:rFonts w:ascii="Calibri" w:hAnsi="Calibri" w:cs="Arial"/>
        </w:rPr>
        <w:t xml:space="preserve">an </w:t>
      </w:r>
      <w:r w:rsidR="002A5728">
        <w:rPr>
          <w:rFonts w:ascii="Calibri" w:hAnsi="Calibri" w:cs="Arial"/>
        </w:rPr>
        <w:t>institutional asset owner seriously.  To this end, the Fund’</w:t>
      </w:r>
      <w:r w:rsidR="003B4F75">
        <w:rPr>
          <w:rFonts w:ascii="Calibri" w:hAnsi="Calibri" w:cs="Arial"/>
        </w:rPr>
        <w:t>s</w:t>
      </w:r>
      <w:r w:rsidR="002A5728">
        <w:rPr>
          <w:rFonts w:ascii="Calibri" w:hAnsi="Calibri" w:cs="Arial"/>
        </w:rPr>
        <w:t xml:space="preserve"> approach to responsible investment centres on effective stewardship of all their assets, with a particular focus on good corporate governance to deliver </w:t>
      </w:r>
      <w:r>
        <w:rPr>
          <w:rFonts w:ascii="Calibri" w:hAnsi="Calibri" w:cs="Arial"/>
        </w:rPr>
        <w:t>sustainable investor value</w:t>
      </w:r>
      <w:r w:rsidR="002A5728">
        <w:rPr>
          <w:rFonts w:ascii="Calibri" w:hAnsi="Calibri" w:cs="Arial"/>
        </w:rPr>
        <w:t xml:space="preserve">.  </w:t>
      </w:r>
      <w:r w:rsidR="001444CC">
        <w:rPr>
          <w:rFonts w:ascii="Calibri" w:hAnsi="Calibri" w:cs="Arial"/>
        </w:rPr>
        <w:br/>
      </w:r>
    </w:p>
    <w:p w14:paraId="31317464" w14:textId="521BCC42" w:rsidR="0022780B" w:rsidRDefault="001444CC" w:rsidP="00EB35F1">
      <w:pPr>
        <w:pStyle w:val="ListParagraph"/>
        <w:numPr>
          <w:ilvl w:val="1"/>
          <w:numId w:val="4"/>
        </w:numPr>
        <w:spacing w:before="0" w:after="0" w:line="240" w:lineRule="auto"/>
        <w:ind w:left="567" w:hanging="567"/>
        <w:jc w:val="both"/>
        <w:rPr>
          <w:rFonts w:ascii="Calibri" w:hAnsi="Calibri" w:cs="Arial"/>
        </w:rPr>
      </w:pPr>
      <w:r>
        <w:rPr>
          <w:rFonts w:ascii="Calibri" w:hAnsi="Calibri" w:cs="Arial"/>
        </w:rPr>
        <w:t xml:space="preserve">In </w:t>
      </w:r>
      <w:proofErr w:type="gramStart"/>
      <w:r w:rsidR="00BF4285">
        <w:rPr>
          <w:rFonts w:ascii="Calibri" w:hAnsi="Calibri" w:cs="Arial"/>
        </w:rPr>
        <w:t>December,</w:t>
      </w:r>
      <w:proofErr w:type="gramEnd"/>
      <w:r>
        <w:rPr>
          <w:rFonts w:ascii="Calibri" w:hAnsi="Calibri" w:cs="Arial"/>
        </w:rPr>
        <w:t xml:space="preserve"> 2020 the Committee agreed a Statement of Responsible Investment Principles (SRIP) which is intended to complement the SIP.  In essence the SRIP seeks to explain the Fund’s approach to the oversight and monitoring of its investment activities from a responsible investment perspective.</w:t>
      </w:r>
      <w:r w:rsidR="002A5728">
        <w:rPr>
          <w:rFonts w:ascii="Calibri" w:hAnsi="Calibri" w:cs="Arial"/>
        </w:rPr>
        <w:t xml:space="preserve">  </w:t>
      </w:r>
    </w:p>
    <w:p w14:paraId="514AF466" w14:textId="77777777" w:rsidR="00241895" w:rsidRDefault="00241895" w:rsidP="00241895">
      <w:pPr>
        <w:pStyle w:val="ListParagraph"/>
        <w:spacing w:before="0" w:after="0" w:line="240" w:lineRule="auto"/>
        <w:ind w:left="567"/>
        <w:jc w:val="both"/>
        <w:rPr>
          <w:rFonts w:ascii="Calibri" w:hAnsi="Calibri" w:cs="Arial"/>
        </w:rPr>
      </w:pPr>
    </w:p>
    <w:p w14:paraId="603A4E9A" w14:textId="2055FF9D" w:rsidR="000425ED" w:rsidRDefault="00B74241" w:rsidP="00EB69EA">
      <w:pPr>
        <w:pStyle w:val="ListParagraph"/>
        <w:numPr>
          <w:ilvl w:val="1"/>
          <w:numId w:val="4"/>
        </w:numPr>
        <w:spacing w:before="0" w:after="0" w:line="240" w:lineRule="auto"/>
        <w:ind w:left="567" w:hanging="567"/>
        <w:jc w:val="both"/>
        <w:rPr>
          <w:rFonts w:ascii="Calibri" w:hAnsi="Calibri" w:cs="Arial"/>
        </w:rPr>
      </w:pPr>
      <w:r w:rsidRPr="000425ED">
        <w:rPr>
          <w:rFonts w:ascii="Calibri" w:hAnsi="Calibri" w:cs="Arial"/>
        </w:rPr>
        <w:t>The Fund’</w:t>
      </w:r>
      <w:r w:rsidR="000425ED" w:rsidRPr="000425ED">
        <w:rPr>
          <w:rFonts w:ascii="Calibri" w:hAnsi="Calibri" w:cs="Arial"/>
        </w:rPr>
        <w:t>s</w:t>
      </w:r>
      <w:r w:rsidRPr="000425ED">
        <w:rPr>
          <w:rFonts w:ascii="Calibri" w:hAnsi="Calibri" w:cs="Arial"/>
        </w:rPr>
        <w:t xml:space="preserve"> investment managers are </w:t>
      </w:r>
      <w:r w:rsidR="000425ED" w:rsidRPr="000425ED">
        <w:rPr>
          <w:rFonts w:ascii="Calibri" w:hAnsi="Calibri" w:cs="Arial"/>
        </w:rPr>
        <w:t>required to i</w:t>
      </w:r>
      <w:r w:rsidRPr="000425ED">
        <w:rPr>
          <w:rFonts w:ascii="Calibri" w:hAnsi="Calibri" w:cs="Arial"/>
        </w:rPr>
        <w:t>ntegrat</w:t>
      </w:r>
      <w:r w:rsidR="000425ED" w:rsidRPr="000425ED">
        <w:rPr>
          <w:rFonts w:ascii="Calibri" w:hAnsi="Calibri" w:cs="Arial"/>
        </w:rPr>
        <w:t>e</w:t>
      </w:r>
      <w:r w:rsidRPr="000425ED">
        <w:rPr>
          <w:rFonts w:ascii="Calibri" w:hAnsi="Calibri" w:cs="Arial"/>
        </w:rPr>
        <w:t xml:space="preserve"> </w:t>
      </w:r>
      <w:r w:rsidR="005A1EB4">
        <w:rPr>
          <w:rFonts w:ascii="Calibri" w:hAnsi="Calibri" w:cs="Arial"/>
        </w:rPr>
        <w:t>environmental, social and governance (</w:t>
      </w:r>
      <w:r w:rsidRPr="000425ED">
        <w:rPr>
          <w:rFonts w:ascii="Calibri" w:hAnsi="Calibri" w:cs="Arial"/>
        </w:rPr>
        <w:t>ESG</w:t>
      </w:r>
      <w:r w:rsidR="005A1EB4">
        <w:rPr>
          <w:rFonts w:ascii="Calibri" w:hAnsi="Calibri" w:cs="Arial"/>
        </w:rPr>
        <w:t>)</w:t>
      </w:r>
      <w:r w:rsidRPr="000425ED">
        <w:rPr>
          <w:rFonts w:ascii="Calibri" w:hAnsi="Calibri" w:cs="Arial"/>
        </w:rPr>
        <w:t xml:space="preserve"> analysis into their decision-making, </w:t>
      </w:r>
      <w:r w:rsidR="00EB70D7" w:rsidRPr="000425ED">
        <w:rPr>
          <w:rFonts w:ascii="Calibri" w:hAnsi="Calibri" w:cs="Arial"/>
        </w:rPr>
        <w:t>including those related to climate change</w:t>
      </w:r>
      <w:r w:rsidRPr="000425ED">
        <w:rPr>
          <w:rFonts w:ascii="Calibri" w:hAnsi="Calibri" w:cs="Arial"/>
        </w:rPr>
        <w:t xml:space="preserve">.  </w:t>
      </w:r>
      <w:r w:rsidR="000425ED" w:rsidRPr="000425ED">
        <w:rPr>
          <w:rFonts w:ascii="Calibri" w:hAnsi="Calibri" w:cs="Arial"/>
        </w:rPr>
        <w:t>The way in which managers integrate ESG considerations into their investment processes is a key consideration in the selection and appointment process of any new i</w:t>
      </w:r>
      <w:r w:rsidRPr="000425ED">
        <w:rPr>
          <w:rFonts w:ascii="Calibri" w:hAnsi="Calibri" w:cs="Arial"/>
        </w:rPr>
        <w:t>nvestment manager</w:t>
      </w:r>
      <w:r w:rsidR="000425ED">
        <w:rPr>
          <w:rFonts w:ascii="Calibri" w:hAnsi="Calibri" w:cs="Arial"/>
        </w:rPr>
        <w:t xml:space="preserve">. Existing managers are expected to provide regular updates on their approach to ESG matters and towards sustainable investment. These reports are made available to Committee and Board members via the Fund secure portal. </w:t>
      </w:r>
    </w:p>
    <w:p w14:paraId="0DB11165" w14:textId="37E653BF" w:rsidR="00B74241" w:rsidRPr="000425ED" w:rsidRDefault="000425ED" w:rsidP="000425ED">
      <w:pPr>
        <w:spacing w:before="0" w:after="0" w:line="240" w:lineRule="auto"/>
        <w:jc w:val="both"/>
        <w:rPr>
          <w:rFonts w:ascii="Calibri" w:hAnsi="Calibri" w:cs="Arial"/>
        </w:rPr>
      </w:pPr>
      <w:r w:rsidRPr="000425ED">
        <w:rPr>
          <w:rFonts w:ascii="Calibri" w:hAnsi="Calibri" w:cs="Arial"/>
        </w:rPr>
        <w:t xml:space="preserve"> </w:t>
      </w:r>
    </w:p>
    <w:p w14:paraId="6EEF5251" w14:textId="2A711FF0" w:rsidR="00BA7C0E" w:rsidRDefault="00BA7C0E" w:rsidP="00BA7C0E">
      <w:pPr>
        <w:pStyle w:val="BodyText"/>
        <w:spacing w:before="0" w:after="0" w:line="240" w:lineRule="auto"/>
        <w:ind w:left="567" w:hanging="567"/>
        <w:jc w:val="both"/>
        <w:rPr>
          <w:rFonts w:ascii="Calibri" w:hAnsi="Calibri" w:cs="Arial"/>
        </w:rPr>
      </w:pPr>
      <w:r>
        <w:rPr>
          <w:rFonts w:ascii="Calibri" w:hAnsi="Calibri" w:cs="Arial"/>
        </w:rPr>
        <w:t>4.</w:t>
      </w:r>
      <w:r w:rsidR="0024600E">
        <w:rPr>
          <w:rFonts w:ascii="Calibri" w:hAnsi="Calibri" w:cs="Arial"/>
        </w:rPr>
        <w:t>4</w:t>
      </w:r>
      <w:r>
        <w:rPr>
          <w:rFonts w:ascii="Calibri" w:hAnsi="Calibri" w:cs="Arial"/>
        </w:rPr>
        <w:tab/>
      </w:r>
      <w:r w:rsidRPr="00BA7C0E">
        <w:rPr>
          <w:rFonts w:ascii="Calibri" w:hAnsi="Calibri" w:cs="Arial"/>
        </w:rPr>
        <w:t xml:space="preserve">As an institutional shareholder with holdings in numerous listed companies, the Fund recognises its responsibility to exercise its voting rights as part of its fiduciary duty and stewardship responsibilities. The </w:t>
      </w:r>
      <w:r w:rsidR="000C6223">
        <w:rPr>
          <w:rFonts w:ascii="Calibri" w:hAnsi="Calibri" w:cs="Arial"/>
        </w:rPr>
        <w:t xml:space="preserve">Fund currently </w:t>
      </w:r>
      <w:r w:rsidR="001B28F1">
        <w:rPr>
          <w:rFonts w:ascii="Calibri" w:hAnsi="Calibri" w:cs="Arial"/>
        </w:rPr>
        <w:t>engages</w:t>
      </w:r>
      <w:r w:rsidRPr="00BA7C0E">
        <w:rPr>
          <w:rFonts w:ascii="Calibri" w:hAnsi="Calibri" w:cs="Arial"/>
        </w:rPr>
        <w:t xml:space="preserve"> </w:t>
      </w:r>
      <w:r w:rsidR="00BE7161">
        <w:rPr>
          <w:rFonts w:ascii="Calibri" w:hAnsi="Calibri" w:cs="Arial"/>
        </w:rPr>
        <w:t>Federated Hermes EOS</w:t>
      </w:r>
      <w:r w:rsidR="00957936">
        <w:rPr>
          <w:rFonts w:ascii="Calibri" w:hAnsi="Calibri" w:cs="Arial"/>
        </w:rPr>
        <w:t xml:space="preserve"> (EOS)</w:t>
      </w:r>
      <w:r w:rsidRPr="00BA7C0E">
        <w:rPr>
          <w:rFonts w:ascii="Calibri" w:hAnsi="Calibri" w:cs="Arial"/>
        </w:rPr>
        <w:t xml:space="preserve"> to provide advice and research services on all matters pertaining to corporate governance. This extends to casting votes on the Fund’s behalf in relation to the Fund’s active equity holdings.</w:t>
      </w:r>
    </w:p>
    <w:p w14:paraId="78C5EEE5" w14:textId="77777777" w:rsidR="00BA7C0E" w:rsidRDefault="00BA7C0E" w:rsidP="00BA7C0E">
      <w:pPr>
        <w:pStyle w:val="BodyText"/>
        <w:spacing w:before="0" w:after="0" w:line="240" w:lineRule="auto"/>
        <w:ind w:left="567" w:hanging="567"/>
        <w:jc w:val="both"/>
        <w:rPr>
          <w:rFonts w:ascii="Calibri" w:hAnsi="Calibri" w:cs="Arial"/>
        </w:rPr>
      </w:pPr>
    </w:p>
    <w:p w14:paraId="61759CC7" w14:textId="2DC4E22F" w:rsidR="00AF067A" w:rsidRPr="00E579FD" w:rsidRDefault="00BA7C0E" w:rsidP="0024600E">
      <w:pPr>
        <w:spacing w:before="0"/>
        <w:ind w:left="567" w:hanging="567"/>
        <w:jc w:val="both"/>
        <w:rPr>
          <w:rFonts w:ascii="Calibri" w:hAnsi="Calibri" w:cs="Calibri"/>
          <w:i/>
          <w:iCs/>
        </w:rPr>
      </w:pPr>
      <w:r>
        <w:rPr>
          <w:rFonts w:ascii="Calibri" w:hAnsi="Calibri" w:cs="Arial"/>
        </w:rPr>
        <w:t>4.</w:t>
      </w:r>
      <w:r w:rsidR="0024600E">
        <w:rPr>
          <w:rFonts w:ascii="Calibri" w:hAnsi="Calibri" w:cs="Arial"/>
        </w:rPr>
        <w:t>5</w:t>
      </w:r>
      <w:r>
        <w:rPr>
          <w:rFonts w:ascii="Calibri" w:hAnsi="Calibri" w:cs="Arial"/>
        </w:rPr>
        <w:tab/>
      </w:r>
      <w:bookmarkStart w:id="1" w:name="_Hlk110937909"/>
      <w:r w:rsidR="00AF067A" w:rsidRPr="00E579FD">
        <w:rPr>
          <w:rFonts w:ascii="Calibri" w:hAnsi="Calibri" w:cs="Calibri"/>
        </w:rPr>
        <w:t xml:space="preserve">EOS undertakes its voting responsibilities in accordance with the EOS Global Voting Guidelines. The guidelines explicitly reference </w:t>
      </w:r>
      <w:r w:rsidR="0042626B">
        <w:rPr>
          <w:rFonts w:ascii="Calibri" w:hAnsi="Calibri" w:cs="Calibri"/>
        </w:rPr>
        <w:t>ESG</w:t>
      </w:r>
      <w:r w:rsidR="00AF067A" w:rsidRPr="00E579FD">
        <w:rPr>
          <w:rFonts w:ascii="Calibri" w:hAnsi="Calibri" w:cs="Calibri"/>
        </w:rPr>
        <w:t xml:space="preserve"> factors and aim to harness voting rights as an asset to be deployed in support of achieving engagement outcomes. The guidelines are informed by a hierarchy of external and </w:t>
      </w:r>
      <w:proofErr w:type="gramStart"/>
      <w:r w:rsidR="00AF067A" w:rsidRPr="00E579FD">
        <w:rPr>
          <w:rFonts w:ascii="Calibri" w:hAnsi="Calibri" w:cs="Calibri"/>
        </w:rPr>
        <w:t>internally-developed</w:t>
      </w:r>
      <w:proofErr w:type="gramEnd"/>
      <w:r w:rsidR="00AF067A" w:rsidRPr="00E579FD">
        <w:rPr>
          <w:rFonts w:ascii="Calibri" w:hAnsi="Calibri" w:cs="Calibri"/>
        </w:rPr>
        <w:t xml:space="preserve"> global and regional best practice guidelines.</w:t>
      </w:r>
    </w:p>
    <w:bookmarkEnd w:id="1"/>
    <w:p w14:paraId="1EF2C7D1" w14:textId="55C4F302" w:rsidR="00BA7C0E" w:rsidRDefault="00BA7C0E" w:rsidP="00BA7C0E">
      <w:pPr>
        <w:pStyle w:val="BodyText"/>
        <w:spacing w:before="0" w:after="0" w:line="240" w:lineRule="auto"/>
        <w:ind w:left="567" w:hanging="567"/>
        <w:jc w:val="both"/>
        <w:rPr>
          <w:rFonts w:ascii="Calibri" w:hAnsi="Calibri" w:cs="Arial"/>
        </w:rPr>
      </w:pPr>
      <w:r>
        <w:rPr>
          <w:rFonts w:ascii="Calibri" w:hAnsi="Calibri" w:cs="Arial"/>
        </w:rPr>
        <w:t>4.</w:t>
      </w:r>
      <w:r w:rsidR="0024600E">
        <w:rPr>
          <w:rFonts w:ascii="Calibri" w:hAnsi="Calibri" w:cs="Arial"/>
        </w:rPr>
        <w:t>6</w:t>
      </w:r>
      <w:r>
        <w:rPr>
          <w:rFonts w:ascii="Calibri" w:hAnsi="Calibri" w:cs="Arial"/>
        </w:rPr>
        <w:tab/>
      </w:r>
      <w:r w:rsidR="007A250C">
        <w:rPr>
          <w:rFonts w:ascii="Calibri" w:hAnsi="Calibri" w:cs="Arial"/>
        </w:rPr>
        <w:t>EOS</w:t>
      </w:r>
      <w:r w:rsidR="007E5A50">
        <w:rPr>
          <w:rFonts w:ascii="Calibri" w:hAnsi="Calibri" w:cs="Arial"/>
        </w:rPr>
        <w:t xml:space="preserve"> is</w:t>
      </w:r>
      <w:r w:rsidRPr="00BA7C0E">
        <w:rPr>
          <w:rFonts w:ascii="Calibri" w:hAnsi="Calibri" w:cs="Arial"/>
        </w:rPr>
        <w:t xml:space="preserve"> responsible for reporting, on a quarterly basis, how votes were cast and whether there were any significant company issues during the quarter</w:t>
      </w:r>
      <w:r>
        <w:rPr>
          <w:rFonts w:ascii="Calibri" w:hAnsi="Calibri" w:cs="Arial"/>
        </w:rPr>
        <w:t>.</w:t>
      </w:r>
      <w:r w:rsidR="00334A8E">
        <w:rPr>
          <w:rFonts w:ascii="Calibri" w:hAnsi="Calibri" w:cs="Arial"/>
        </w:rPr>
        <w:t xml:space="preserve"> Details can be found </w:t>
      </w:r>
      <w:r w:rsidR="00BF4130">
        <w:rPr>
          <w:rFonts w:ascii="Calibri" w:hAnsi="Calibri" w:cs="Arial"/>
        </w:rPr>
        <w:t xml:space="preserve">by </w:t>
      </w:r>
      <w:r w:rsidR="00CB2F3C">
        <w:rPr>
          <w:rFonts w:ascii="Calibri" w:hAnsi="Calibri" w:cs="Arial"/>
        </w:rPr>
        <w:t>accessing the Committee papers for each quarter</w:t>
      </w:r>
      <w:r w:rsidR="006416FC">
        <w:rPr>
          <w:rFonts w:ascii="Calibri" w:hAnsi="Calibri" w:cs="Arial"/>
        </w:rPr>
        <w:t xml:space="preserve"> at</w:t>
      </w:r>
      <w:r w:rsidR="000B0E0D">
        <w:rPr>
          <w:rFonts w:ascii="Calibri" w:hAnsi="Calibri" w:cs="Arial"/>
        </w:rPr>
        <w:t xml:space="preserve"> </w:t>
      </w:r>
      <w:hyperlink r:id="rId12" w:history="1">
        <w:r w:rsidR="000B0E0D">
          <w:rPr>
            <w:rStyle w:val="Hyperlink"/>
          </w:rPr>
          <w:t>Falkirk Committee Information - Committee Details</w:t>
        </w:r>
      </w:hyperlink>
      <w:r w:rsidR="006416FC">
        <w:rPr>
          <w:rFonts w:ascii="Calibri" w:hAnsi="Calibri" w:cs="Arial"/>
        </w:rPr>
        <w:t xml:space="preserve"> </w:t>
      </w:r>
    </w:p>
    <w:p w14:paraId="62E868AD" w14:textId="77777777" w:rsidR="00BA7C0E" w:rsidRDefault="00BA7C0E" w:rsidP="00BA7C0E">
      <w:pPr>
        <w:pStyle w:val="BodyText"/>
        <w:spacing w:before="0" w:after="0" w:line="240" w:lineRule="auto"/>
        <w:jc w:val="both"/>
        <w:rPr>
          <w:rFonts w:ascii="Calibri" w:hAnsi="Calibri" w:cs="Arial"/>
        </w:rPr>
      </w:pPr>
    </w:p>
    <w:p w14:paraId="23B4377A" w14:textId="03780D11" w:rsidR="00195209" w:rsidRDefault="00BA7C0E" w:rsidP="00BA7C0E">
      <w:pPr>
        <w:pStyle w:val="BodyText"/>
        <w:tabs>
          <w:tab w:val="left" w:pos="567"/>
        </w:tabs>
        <w:spacing w:before="0" w:after="0" w:line="240" w:lineRule="auto"/>
        <w:ind w:left="567" w:hanging="567"/>
        <w:jc w:val="both"/>
        <w:rPr>
          <w:rFonts w:ascii="Calibri" w:hAnsi="Calibri" w:cs="Arial"/>
        </w:rPr>
      </w:pPr>
      <w:r>
        <w:rPr>
          <w:rFonts w:ascii="Calibri" w:hAnsi="Calibri" w:cs="Arial"/>
        </w:rPr>
        <w:t>4.</w:t>
      </w:r>
      <w:r w:rsidR="0024600E">
        <w:rPr>
          <w:rFonts w:ascii="Calibri" w:hAnsi="Calibri" w:cs="Arial"/>
        </w:rPr>
        <w:t>7</w:t>
      </w:r>
      <w:r>
        <w:rPr>
          <w:rFonts w:ascii="Calibri" w:hAnsi="Calibri" w:cs="Arial"/>
        </w:rPr>
        <w:tab/>
      </w:r>
      <w:r w:rsidR="00334A8E">
        <w:rPr>
          <w:rFonts w:ascii="Calibri" w:hAnsi="Calibri" w:cs="Arial"/>
        </w:rPr>
        <w:t xml:space="preserve">The </w:t>
      </w:r>
      <w:r w:rsidRPr="00BA7C0E">
        <w:rPr>
          <w:rFonts w:ascii="Calibri" w:hAnsi="Calibri" w:cs="Arial"/>
        </w:rPr>
        <w:t xml:space="preserve">Fund is a member of Local Authority Pension Fund Forum (LAPFF). LAPFF exists to promote the investment interests of local authority pension funds, and to maximise their influence as shareholders while promoting social responsibility and high standards of corporate governance at the companies in which they invest. Formed in 1990, the Forum brings together a diverse range of around </w:t>
      </w:r>
      <w:r w:rsidR="00334A8E">
        <w:rPr>
          <w:rFonts w:ascii="Calibri" w:hAnsi="Calibri" w:cs="Arial"/>
        </w:rPr>
        <w:t>80</w:t>
      </w:r>
      <w:r w:rsidRPr="00BA7C0E">
        <w:rPr>
          <w:rFonts w:ascii="Calibri" w:hAnsi="Calibri" w:cs="Arial"/>
        </w:rPr>
        <w:t xml:space="preserve"> local authority pension funds </w:t>
      </w:r>
      <w:r w:rsidR="00D724E1">
        <w:rPr>
          <w:rFonts w:ascii="Calibri" w:hAnsi="Calibri" w:cs="Arial"/>
        </w:rPr>
        <w:t>and poo</w:t>
      </w:r>
      <w:r w:rsidR="000A4376">
        <w:rPr>
          <w:rFonts w:ascii="Calibri" w:hAnsi="Calibri" w:cs="Arial"/>
        </w:rPr>
        <w:t>l</w:t>
      </w:r>
      <w:r w:rsidR="00D724E1">
        <w:rPr>
          <w:rFonts w:ascii="Calibri" w:hAnsi="Calibri" w:cs="Arial"/>
        </w:rPr>
        <w:t xml:space="preserve">s </w:t>
      </w:r>
      <w:r w:rsidRPr="00BA7C0E">
        <w:rPr>
          <w:rFonts w:ascii="Calibri" w:hAnsi="Calibri" w:cs="Arial"/>
        </w:rPr>
        <w:t xml:space="preserve">with combined assets of </w:t>
      </w:r>
      <w:r w:rsidR="008765B4">
        <w:rPr>
          <w:rFonts w:ascii="Calibri" w:hAnsi="Calibri" w:cs="Arial"/>
        </w:rPr>
        <w:t>circa</w:t>
      </w:r>
      <w:r w:rsidRPr="00BA7C0E">
        <w:rPr>
          <w:rFonts w:ascii="Calibri" w:hAnsi="Calibri" w:cs="Arial"/>
        </w:rPr>
        <w:t xml:space="preserve"> £</w:t>
      </w:r>
      <w:r w:rsidR="008765B4">
        <w:rPr>
          <w:rFonts w:ascii="Calibri" w:hAnsi="Calibri" w:cs="Arial"/>
        </w:rPr>
        <w:t>350</w:t>
      </w:r>
      <w:r w:rsidRPr="00BA7C0E">
        <w:rPr>
          <w:rFonts w:ascii="Calibri" w:hAnsi="Calibri" w:cs="Arial"/>
        </w:rPr>
        <w:t xml:space="preserve"> billion.</w:t>
      </w:r>
    </w:p>
    <w:p w14:paraId="1FEEC3B1" w14:textId="3DF96569" w:rsidR="00BA7C0E" w:rsidRDefault="00BA7C0E" w:rsidP="00BA7C0E">
      <w:pPr>
        <w:pStyle w:val="BodyText"/>
        <w:tabs>
          <w:tab w:val="left" w:pos="567"/>
        </w:tabs>
        <w:spacing w:before="0" w:after="0" w:line="240" w:lineRule="auto"/>
        <w:ind w:left="567" w:hanging="567"/>
        <w:jc w:val="both"/>
        <w:rPr>
          <w:rFonts w:ascii="Calibri" w:hAnsi="Calibri" w:cs="Arial"/>
        </w:rPr>
      </w:pPr>
      <w:r>
        <w:rPr>
          <w:rFonts w:ascii="Calibri" w:hAnsi="Calibri" w:cs="Arial"/>
        </w:rPr>
        <w:tab/>
      </w:r>
    </w:p>
    <w:p w14:paraId="23A24525" w14:textId="77777777" w:rsidR="0024600E" w:rsidRDefault="00434DFF" w:rsidP="0024600E">
      <w:pPr>
        <w:pStyle w:val="ListParagraph"/>
        <w:numPr>
          <w:ilvl w:val="1"/>
          <w:numId w:val="28"/>
        </w:numPr>
        <w:spacing w:before="0" w:after="0" w:line="240" w:lineRule="auto"/>
        <w:ind w:hanging="502"/>
        <w:jc w:val="both"/>
        <w:rPr>
          <w:rFonts w:ascii="Calibri" w:hAnsi="Calibri" w:cs="Arial"/>
        </w:rPr>
      </w:pPr>
      <w:r w:rsidRPr="0024600E">
        <w:rPr>
          <w:rFonts w:ascii="Calibri" w:hAnsi="Calibri" w:cs="Arial"/>
        </w:rPr>
        <w:t>T</w:t>
      </w:r>
      <w:r w:rsidR="00BA7C0E" w:rsidRPr="0024600E">
        <w:rPr>
          <w:rFonts w:ascii="Calibri" w:hAnsi="Calibri" w:cs="Arial"/>
        </w:rPr>
        <w:t xml:space="preserve">he Fund is </w:t>
      </w:r>
      <w:r w:rsidR="00B74241" w:rsidRPr="0024600E">
        <w:rPr>
          <w:rFonts w:ascii="Calibri" w:hAnsi="Calibri" w:cs="Arial"/>
        </w:rPr>
        <w:t xml:space="preserve">committed to </w:t>
      </w:r>
      <w:r w:rsidR="00251F44" w:rsidRPr="0024600E">
        <w:rPr>
          <w:rFonts w:ascii="Calibri" w:hAnsi="Calibri" w:cs="Arial"/>
        </w:rPr>
        <w:t>engaging with</w:t>
      </w:r>
      <w:r w:rsidR="001340F7" w:rsidRPr="0024600E">
        <w:rPr>
          <w:rFonts w:ascii="Calibri" w:hAnsi="Calibri" w:cs="Arial"/>
        </w:rPr>
        <w:t xml:space="preserve"> and influencing </w:t>
      </w:r>
      <w:r w:rsidR="00251F44" w:rsidRPr="0024600E">
        <w:rPr>
          <w:rFonts w:ascii="Calibri" w:hAnsi="Calibri" w:cs="Arial"/>
        </w:rPr>
        <w:t xml:space="preserve">companies, </w:t>
      </w:r>
      <w:r w:rsidR="00E579FD" w:rsidRPr="0024600E">
        <w:rPr>
          <w:rFonts w:ascii="Calibri" w:hAnsi="Calibri" w:cs="Arial"/>
        </w:rPr>
        <w:t>governments,</w:t>
      </w:r>
      <w:r w:rsidR="00251F44" w:rsidRPr="0024600E">
        <w:rPr>
          <w:rFonts w:ascii="Calibri" w:hAnsi="Calibri" w:cs="Arial"/>
        </w:rPr>
        <w:t xml:space="preserve"> and regulators</w:t>
      </w:r>
      <w:r w:rsidR="00225A20" w:rsidRPr="0024600E">
        <w:rPr>
          <w:rFonts w:ascii="Calibri" w:hAnsi="Calibri" w:cs="Arial"/>
        </w:rPr>
        <w:t xml:space="preserve"> </w:t>
      </w:r>
      <w:r w:rsidR="00BA7C0E" w:rsidRPr="0024600E">
        <w:rPr>
          <w:rFonts w:ascii="Calibri" w:hAnsi="Calibri" w:cs="Arial"/>
        </w:rPr>
        <w:t xml:space="preserve">as </w:t>
      </w:r>
      <w:r w:rsidR="00225A20" w:rsidRPr="0024600E">
        <w:rPr>
          <w:rFonts w:ascii="Calibri" w:hAnsi="Calibri" w:cs="Arial"/>
        </w:rPr>
        <w:t>appropriate</w:t>
      </w:r>
      <w:r w:rsidR="00251F44" w:rsidRPr="0024600E">
        <w:rPr>
          <w:rFonts w:ascii="Calibri" w:hAnsi="Calibri" w:cs="Arial"/>
        </w:rPr>
        <w:t>.  The Fund do</w:t>
      </w:r>
      <w:r w:rsidR="000425ED" w:rsidRPr="0024600E">
        <w:rPr>
          <w:rFonts w:ascii="Calibri" w:hAnsi="Calibri" w:cs="Arial"/>
        </w:rPr>
        <w:t>es</w:t>
      </w:r>
      <w:r w:rsidR="00251F44" w:rsidRPr="0024600E">
        <w:rPr>
          <w:rFonts w:ascii="Calibri" w:hAnsi="Calibri" w:cs="Arial"/>
        </w:rPr>
        <w:t xml:space="preserve"> not follow a policy of exclusion or automatic divestment, as such a policy has the potential to transfer ownership rights to investors without respon</w:t>
      </w:r>
      <w:r w:rsidR="001340F7" w:rsidRPr="0024600E">
        <w:rPr>
          <w:rFonts w:ascii="Calibri" w:hAnsi="Calibri" w:cs="Arial"/>
        </w:rPr>
        <w:t>sible investment policies.</w:t>
      </w:r>
      <w:r w:rsidR="0027271E" w:rsidRPr="0024600E">
        <w:rPr>
          <w:rFonts w:ascii="Calibri" w:hAnsi="Calibri" w:cs="Arial"/>
        </w:rPr>
        <w:t xml:space="preserve">  However, the SRIP does allow for situations in which material risks remain following engagement activity for the Fund to retain the ability to divest from such positions. </w:t>
      </w:r>
    </w:p>
    <w:p w14:paraId="5918E9F7" w14:textId="77777777" w:rsidR="0024600E" w:rsidRDefault="0024600E" w:rsidP="0024600E">
      <w:pPr>
        <w:pStyle w:val="ListParagraph"/>
        <w:spacing w:before="0" w:after="0" w:line="240" w:lineRule="auto"/>
        <w:ind w:left="502"/>
        <w:jc w:val="both"/>
        <w:rPr>
          <w:rFonts w:ascii="Calibri" w:hAnsi="Calibri" w:cs="Arial"/>
        </w:rPr>
      </w:pPr>
    </w:p>
    <w:p w14:paraId="257FB1F4" w14:textId="4A07ADC5" w:rsidR="00FA554A" w:rsidRPr="0024600E" w:rsidRDefault="00FA554A" w:rsidP="0024600E">
      <w:pPr>
        <w:pStyle w:val="ListParagraph"/>
        <w:numPr>
          <w:ilvl w:val="1"/>
          <w:numId w:val="28"/>
        </w:numPr>
        <w:spacing w:before="0" w:after="0" w:line="240" w:lineRule="auto"/>
        <w:ind w:hanging="502"/>
        <w:jc w:val="both"/>
        <w:rPr>
          <w:rFonts w:ascii="Calibri" w:hAnsi="Calibri" w:cs="Arial"/>
        </w:rPr>
      </w:pPr>
      <w:r w:rsidRPr="0024600E">
        <w:rPr>
          <w:rFonts w:ascii="Calibri" w:hAnsi="Calibri" w:cs="Arial"/>
        </w:rPr>
        <w:t xml:space="preserve">The Fund will consider joining campaigns /action groups involving other institutional investors to ensure that </w:t>
      </w:r>
      <w:r w:rsidRPr="0024600E">
        <w:rPr>
          <w:rFonts w:ascii="Calibri" w:hAnsi="Calibri"/>
        </w:rPr>
        <w:t>sustainability and financially material risks, including environmental</w:t>
      </w:r>
      <w:r w:rsidR="00403BE3" w:rsidRPr="0024600E">
        <w:rPr>
          <w:rFonts w:ascii="Calibri" w:hAnsi="Calibri"/>
        </w:rPr>
        <w:t>, climate change,</w:t>
      </w:r>
      <w:r w:rsidRPr="0024600E">
        <w:rPr>
          <w:rFonts w:ascii="Calibri" w:hAnsi="Calibri"/>
        </w:rPr>
        <w:t xml:space="preserve"> social and governance issues are being adequately addressed by investee companies. </w:t>
      </w:r>
    </w:p>
    <w:p w14:paraId="2EDAAC2B" w14:textId="77777777" w:rsidR="00FA554A" w:rsidRPr="00FA554A" w:rsidRDefault="00FA554A" w:rsidP="00FA554A">
      <w:pPr>
        <w:pStyle w:val="ListParagraph"/>
        <w:rPr>
          <w:rFonts w:ascii="Calibri" w:hAnsi="Calibri" w:cs="Arial"/>
        </w:rPr>
      </w:pPr>
    </w:p>
    <w:p w14:paraId="4580C723" w14:textId="431D5CAA" w:rsidR="001340F7" w:rsidRPr="0024600E" w:rsidRDefault="001340F7" w:rsidP="0024600E">
      <w:pPr>
        <w:pStyle w:val="ListParagraph"/>
        <w:numPr>
          <w:ilvl w:val="1"/>
          <w:numId w:val="28"/>
        </w:numPr>
        <w:spacing w:before="0" w:after="0" w:line="240" w:lineRule="auto"/>
        <w:ind w:hanging="502"/>
        <w:jc w:val="both"/>
        <w:rPr>
          <w:rFonts w:ascii="Calibri" w:hAnsi="Calibri" w:cs="Arial"/>
        </w:rPr>
      </w:pPr>
      <w:r w:rsidRPr="0024600E">
        <w:rPr>
          <w:rFonts w:ascii="Calibri" w:hAnsi="Calibri" w:cs="Arial"/>
        </w:rPr>
        <w:lastRenderedPageBreak/>
        <w:t>The Financial Reporting Council (FRC) is the UK’s independent regulator responsible for promoting high quality corporate gov</w:t>
      </w:r>
      <w:r w:rsidR="00EB70D7" w:rsidRPr="0024600E">
        <w:rPr>
          <w:rFonts w:ascii="Calibri" w:hAnsi="Calibri" w:cs="Arial"/>
        </w:rPr>
        <w:t>ernance and reporting.  As long-</w:t>
      </w:r>
      <w:r w:rsidRPr="0024600E">
        <w:rPr>
          <w:rFonts w:ascii="Calibri" w:hAnsi="Calibri" w:cs="Arial"/>
        </w:rPr>
        <w:t>term investors, the Fund recognise</w:t>
      </w:r>
      <w:r w:rsidR="00BA7C0E" w:rsidRPr="0024600E">
        <w:rPr>
          <w:rFonts w:ascii="Calibri" w:hAnsi="Calibri" w:cs="Arial"/>
        </w:rPr>
        <w:t>s</w:t>
      </w:r>
      <w:r w:rsidRPr="0024600E">
        <w:rPr>
          <w:rFonts w:ascii="Calibri" w:hAnsi="Calibri" w:cs="Arial"/>
        </w:rPr>
        <w:t xml:space="preserve"> the importance of promoting r</w:t>
      </w:r>
      <w:r w:rsidR="00EB70D7" w:rsidRPr="0024600E">
        <w:rPr>
          <w:rFonts w:ascii="Calibri" w:hAnsi="Calibri" w:cs="Arial"/>
        </w:rPr>
        <w:t>esponsible stewardship and long-</w:t>
      </w:r>
      <w:r w:rsidRPr="0024600E">
        <w:rPr>
          <w:rFonts w:ascii="Calibri" w:hAnsi="Calibri" w:cs="Arial"/>
        </w:rPr>
        <w:t>term decision making.  The Fund seek</w:t>
      </w:r>
      <w:r w:rsidR="00BA7C0E" w:rsidRPr="0024600E">
        <w:rPr>
          <w:rFonts w:ascii="Calibri" w:hAnsi="Calibri" w:cs="Arial"/>
        </w:rPr>
        <w:t>s</w:t>
      </w:r>
      <w:r w:rsidRPr="0024600E">
        <w:rPr>
          <w:rFonts w:ascii="Calibri" w:hAnsi="Calibri" w:cs="Arial"/>
        </w:rPr>
        <w:t xml:space="preserve"> to adhere to the</w:t>
      </w:r>
      <w:r w:rsidR="00195209" w:rsidRPr="0024600E">
        <w:rPr>
          <w:rFonts w:ascii="Calibri" w:hAnsi="Calibri" w:cs="Arial"/>
        </w:rPr>
        <w:t xml:space="preserve"> principles of the</w:t>
      </w:r>
      <w:r w:rsidRPr="0024600E">
        <w:rPr>
          <w:rFonts w:ascii="Calibri" w:hAnsi="Calibri" w:cs="Arial"/>
        </w:rPr>
        <w:t xml:space="preserve"> FRC’S UK Ste</w:t>
      </w:r>
      <w:r w:rsidR="00EB70D7" w:rsidRPr="0024600E">
        <w:rPr>
          <w:rFonts w:ascii="Calibri" w:hAnsi="Calibri" w:cs="Arial"/>
        </w:rPr>
        <w:t>wardship Code and encourage</w:t>
      </w:r>
      <w:r w:rsidR="00BA7C0E" w:rsidRPr="0024600E">
        <w:rPr>
          <w:rFonts w:ascii="Calibri" w:hAnsi="Calibri" w:cs="Arial"/>
        </w:rPr>
        <w:t>s</w:t>
      </w:r>
      <w:r w:rsidR="00EB70D7" w:rsidRPr="0024600E">
        <w:rPr>
          <w:rFonts w:ascii="Calibri" w:hAnsi="Calibri" w:cs="Arial"/>
        </w:rPr>
        <w:t xml:space="preserve"> </w:t>
      </w:r>
      <w:r w:rsidR="00BA7C0E" w:rsidRPr="0024600E">
        <w:rPr>
          <w:rFonts w:ascii="Calibri" w:hAnsi="Calibri" w:cs="Arial"/>
        </w:rPr>
        <w:t>its</w:t>
      </w:r>
      <w:r w:rsidRPr="0024600E">
        <w:rPr>
          <w:rFonts w:ascii="Calibri" w:hAnsi="Calibri" w:cs="Arial"/>
        </w:rPr>
        <w:t xml:space="preserve"> appointed asset managers to do so too.  </w:t>
      </w:r>
    </w:p>
    <w:bookmarkEnd w:id="0"/>
    <w:p w14:paraId="78645B15" w14:textId="63E5F48B" w:rsidR="00334A8E" w:rsidRDefault="00334A8E">
      <w:pPr>
        <w:rPr>
          <w:rFonts w:ascii="Calibri" w:hAnsi="Calibri" w:cs="Arial"/>
        </w:rPr>
      </w:pPr>
    </w:p>
    <w:p w14:paraId="3D073EDF" w14:textId="441E8EAA" w:rsidR="00C33AEE" w:rsidRPr="00FE6695" w:rsidRDefault="00C35AAB" w:rsidP="00B71EB2">
      <w:pPr>
        <w:pStyle w:val="Heading1"/>
        <w:ind w:left="567" w:hanging="567"/>
      </w:pPr>
      <w:r>
        <w:t xml:space="preserve">5. </w:t>
      </w:r>
      <w:r w:rsidR="00A24A46">
        <w:t>FUND</w:t>
      </w:r>
      <w:r w:rsidR="001340F7">
        <w:t xml:space="preserve"> objectives</w:t>
      </w:r>
    </w:p>
    <w:p w14:paraId="5A03CFCB" w14:textId="77777777" w:rsidR="001340F7" w:rsidRDefault="001340F7" w:rsidP="001340F7">
      <w:pPr>
        <w:pStyle w:val="ListParagraph"/>
        <w:spacing w:before="0" w:after="0" w:line="240" w:lineRule="auto"/>
        <w:ind w:left="567"/>
        <w:jc w:val="both"/>
        <w:rPr>
          <w:rFonts w:ascii="Calibri" w:hAnsi="Calibri" w:cs="Arial"/>
        </w:rPr>
      </w:pPr>
    </w:p>
    <w:p w14:paraId="5F479654" w14:textId="7F828A56" w:rsidR="00DB63B5" w:rsidRDefault="00BB3BDB" w:rsidP="00DB63B5">
      <w:pPr>
        <w:pStyle w:val="ListParagraph"/>
        <w:numPr>
          <w:ilvl w:val="1"/>
          <w:numId w:val="5"/>
        </w:numPr>
        <w:spacing w:before="0" w:after="0" w:line="240" w:lineRule="auto"/>
        <w:ind w:left="567" w:hanging="567"/>
        <w:jc w:val="both"/>
        <w:rPr>
          <w:rFonts w:ascii="Calibri" w:hAnsi="Calibri" w:cs="Arial"/>
        </w:rPr>
      </w:pPr>
      <w:r w:rsidRPr="00D61043">
        <w:rPr>
          <w:rFonts w:ascii="Calibri" w:hAnsi="Calibri" w:cs="Arial"/>
        </w:rPr>
        <w:t xml:space="preserve">The </w:t>
      </w:r>
      <w:r w:rsidRPr="00D61043">
        <w:rPr>
          <w:rFonts w:ascii="Calibri" w:hAnsi="Calibri" w:cs="Arial"/>
          <w:b/>
        </w:rPr>
        <w:t>primary objective</w:t>
      </w:r>
      <w:r w:rsidRPr="00D61043">
        <w:rPr>
          <w:rFonts w:ascii="Calibri" w:hAnsi="Calibri" w:cs="Arial"/>
        </w:rPr>
        <w:t xml:space="preserve"> of the Fund </w:t>
      </w:r>
      <w:r w:rsidR="00434DFF">
        <w:rPr>
          <w:rFonts w:ascii="Calibri" w:hAnsi="Calibri" w:cs="Arial"/>
        </w:rPr>
        <w:t>is</w:t>
      </w:r>
      <w:r w:rsidRPr="00D61043">
        <w:rPr>
          <w:rFonts w:ascii="Calibri" w:hAnsi="Calibri" w:cs="Arial"/>
        </w:rPr>
        <w:t xml:space="preserve"> to ensure that there are sufficient funds available to meet all pension and lump sum liabilities as they fall due for payment.</w:t>
      </w:r>
      <w:r w:rsidR="001340F7" w:rsidRPr="00D61043">
        <w:rPr>
          <w:rFonts w:ascii="Calibri" w:hAnsi="Calibri" w:cs="Arial"/>
        </w:rPr>
        <w:t xml:space="preserve"> </w:t>
      </w:r>
    </w:p>
    <w:p w14:paraId="585F10D2" w14:textId="77777777" w:rsidR="00DB63B5" w:rsidRDefault="00DB63B5" w:rsidP="00DB63B5">
      <w:pPr>
        <w:pStyle w:val="ListParagraph"/>
        <w:spacing w:before="0" w:after="0" w:line="240" w:lineRule="auto"/>
        <w:ind w:left="567"/>
        <w:jc w:val="both"/>
        <w:rPr>
          <w:rFonts w:ascii="Calibri" w:hAnsi="Calibri" w:cs="Arial"/>
        </w:rPr>
      </w:pPr>
    </w:p>
    <w:p w14:paraId="52152F3D" w14:textId="04452DD8" w:rsidR="00D1522D" w:rsidRPr="00DB63B5" w:rsidRDefault="00BB3BDB" w:rsidP="00DB63B5">
      <w:pPr>
        <w:pStyle w:val="ListParagraph"/>
        <w:numPr>
          <w:ilvl w:val="1"/>
          <w:numId w:val="5"/>
        </w:numPr>
        <w:spacing w:before="0" w:after="0" w:line="240" w:lineRule="auto"/>
        <w:ind w:left="567" w:hanging="567"/>
        <w:jc w:val="both"/>
        <w:rPr>
          <w:rFonts w:ascii="Calibri" w:hAnsi="Calibri" w:cs="Arial"/>
        </w:rPr>
      </w:pPr>
      <w:r w:rsidRPr="00DB63B5">
        <w:rPr>
          <w:rFonts w:ascii="Calibri" w:hAnsi="Calibri" w:cs="Arial"/>
        </w:rPr>
        <w:t xml:space="preserve">The </w:t>
      </w:r>
      <w:r w:rsidRPr="00DB63B5">
        <w:rPr>
          <w:rFonts w:ascii="Calibri" w:hAnsi="Calibri" w:cs="Arial"/>
          <w:b/>
        </w:rPr>
        <w:t>funding objectives</w:t>
      </w:r>
      <w:r w:rsidRPr="00DB63B5">
        <w:rPr>
          <w:rFonts w:ascii="Calibri" w:hAnsi="Calibri" w:cs="Arial"/>
        </w:rPr>
        <w:t xml:space="preserve"> for </w:t>
      </w:r>
      <w:r w:rsidR="00434DFF">
        <w:rPr>
          <w:rFonts w:ascii="Calibri" w:hAnsi="Calibri" w:cs="Arial"/>
        </w:rPr>
        <w:t>the</w:t>
      </w:r>
      <w:r w:rsidRPr="00DB63B5">
        <w:rPr>
          <w:rFonts w:ascii="Calibri" w:hAnsi="Calibri" w:cs="Arial"/>
        </w:rPr>
        <w:t xml:space="preserve"> Fund are documented in the Committee’</w:t>
      </w:r>
      <w:r w:rsidR="00BE0408" w:rsidRPr="00DB63B5">
        <w:rPr>
          <w:rFonts w:ascii="Calibri" w:hAnsi="Calibri" w:cs="Arial"/>
        </w:rPr>
        <w:t>s Funding Strategy Statement, which is reviewed at least triennially.</w:t>
      </w:r>
      <w:r w:rsidRPr="00DB63B5">
        <w:rPr>
          <w:rFonts w:ascii="Calibri" w:hAnsi="Calibri" w:cs="Arial"/>
        </w:rPr>
        <w:t xml:space="preserve">  The funding objectives, together with the rate</w:t>
      </w:r>
      <w:r w:rsidR="00DB63B5" w:rsidRPr="00526DC0">
        <w:rPr>
          <w:rFonts w:ascii="Calibri" w:hAnsi="Calibri" w:cs="Arial"/>
        </w:rPr>
        <w:t>s</w:t>
      </w:r>
      <w:r w:rsidR="00526DC0">
        <w:rPr>
          <w:rFonts w:ascii="Calibri" w:hAnsi="Calibri" w:cs="Arial"/>
        </w:rPr>
        <w:t xml:space="preserve"> of return being targeted and</w:t>
      </w:r>
      <w:r w:rsidRPr="00DB63B5">
        <w:rPr>
          <w:rFonts w:ascii="Calibri" w:hAnsi="Calibri" w:cs="Arial"/>
        </w:rPr>
        <w:t xml:space="preserve"> level</w:t>
      </w:r>
      <w:r w:rsidR="00DB63B5" w:rsidRPr="00526DC0">
        <w:rPr>
          <w:rFonts w:ascii="Calibri" w:hAnsi="Calibri" w:cs="Arial"/>
        </w:rPr>
        <w:t>s</w:t>
      </w:r>
      <w:r w:rsidR="00526DC0">
        <w:rPr>
          <w:rFonts w:ascii="Calibri" w:hAnsi="Calibri" w:cs="Arial"/>
        </w:rPr>
        <w:t xml:space="preserve"> of risk to be tolerated, are</w:t>
      </w:r>
      <w:r w:rsidRPr="00DB63B5">
        <w:rPr>
          <w:rFonts w:ascii="Calibri" w:hAnsi="Calibri" w:cs="Arial"/>
        </w:rPr>
        <w:t xml:space="preserve"> central to </w:t>
      </w:r>
      <w:r w:rsidR="00DB63B5" w:rsidRPr="00526DC0">
        <w:rPr>
          <w:rFonts w:ascii="Calibri" w:hAnsi="Calibri" w:cs="Arial"/>
        </w:rPr>
        <w:t>each</w:t>
      </w:r>
      <w:r w:rsidRPr="00DB63B5">
        <w:rPr>
          <w:rFonts w:ascii="Calibri" w:hAnsi="Calibri" w:cs="Arial"/>
        </w:rPr>
        <w:t xml:space="preserve"> Fund’s investment strategy, </w:t>
      </w:r>
      <w:r w:rsidR="005A1613" w:rsidRPr="00526DC0">
        <w:rPr>
          <w:rFonts w:ascii="Calibri" w:hAnsi="Calibri" w:cs="Arial"/>
        </w:rPr>
        <w:t xml:space="preserve">and </w:t>
      </w:r>
      <w:r w:rsidR="00DB63B5" w:rsidRPr="00526DC0">
        <w:rPr>
          <w:rFonts w:ascii="Calibri" w:hAnsi="Calibri" w:cs="Arial"/>
        </w:rPr>
        <w:t xml:space="preserve">govern </w:t>
      </w:r>
      <w:r w:rsidR="005A1613" w:rsidRPr="00526DC0">
        <w:rPr>
          <w:rFonts w:ascii="Calibri" w:hAnsi="Calibri" w:cs="Arial"/>
        </w:rPr>
        <w:t>the</w:t>
      </w:r>
      <w:r w:rsidRPr="00DB63B5">
        <w:rPr>
          <w:rFonts w:ascii="Calibri" w:hAnsi="Calibri" w:cs="Arial"/>
        </w:rPr>
        <w:t xml:space="preserve"> allocation across various asset </w:t>
      </w:r>
      <w:r w:rsidRPr="00E466DB">
        <w:rPr>
          <w:rFonts w:ascii="Calibri" w:hAnsi="Calibri" w:cs="Arial"/>
        </w:rPr>
        <w:t>classes.</w:t>
      </w:r>
    </w:p>
    <w:p w14:paraId="11C22708" w14:textId="77777777" w:rsidR="00D1522D" w:rsidRPr="00D1522D" w:rsidRDefault="00D1522D" w:rsidP="00ED0E01">
      <w:pPr>
        <w:spacing w:before="0" w:after="0" w:line="240" w:lineRule="auto"/>
        <w:ind w:left="567"/>
        <w:jc w:val="both"/>
        <w:rPr>
          <w:rFonts w:ascii="Calibri" w:hAnsi="Calibri" w:cs="Arial"/>
        </w:rPr>
      </w:pPr>
    </w:p>
    <w:p w14:paraId="606018A6" w14:textId="5274A96C" w:rsidR="00D1522D" w:rsidRPr="00434DFF" w:rsidRDefault="00434DFF" w:rsidP="00434DFF">
      <w:pPr>
        <w:spacing w:before="0" w:after="0" w:line="240" w:lineRule="auto"/>
        <w:ind w:left="567" w:hanging="567"/>
        <w:jc w:val="both"/>
        <w:rPr>
          <w:rFonts w:ascii="Calibri" w:hAnsi="Calibri" w:cs="Arial"/>
        </w:rPr>
      </w:pPr>
      <w:r>
        <w:rPr>
          <w:rFonts w:ascii="Calibri" w:hAnsi="Calibri" w:cs="Arial"/>
        </w:rPr>
        <w:t>5.3</w:t>
      </w:r>
      <w:r>
        <w:rPr>
          <w:rFonts w:ascii="Calibri" w:hAnsi="Calibri" w:cs="Arial"/>
        </w:rPr>
        <w:tab/>
      </w:r>
      <w:r w:rsidR="00BB3BDB" w:rsidRPr="00434DFF">
        <w:rPr>
          <w:rFonts w:ascii="Calibri" w:hAnsi="Calibri" w:cs="Arial"/>
        </w:rPr>
        <w:t xml:space="preserve">The </w:t>
      </w:r>
      <w:r w:rsidR="00BB3BDB" w:rsidRPr="00434DFF">
        <w:rPr>
          <w:rFonts w:ascii="Calibri" w:hAnsi="Calibri" w:cs="Arial"/>
          <w:b/>
        </w:rPr>
        <w:t>investment objective</w:t>
      </w:r>
      <w:r w:rsidR="00BB3BDB" w:rsidRPr="00434DFF">
        <w:rPr>
          <w:rFonts w:ascii="Calibri" w:hAnsi="Calibri" w:cs="Arial"/>
        </w:rPr>
        <w:t xml:space="preserve"> of the Fund </w:t>
      </w:r>
      <w:r w:rsidRPr="00434DFF">
        <w:rPr>
          <w:rFonts w:ascii="Calibri" w:hAnsi="Calibri" w:cs="Arial"/>
        </w:rPr>
        <w:t>is</w:t>
      </w:r>
      <w:r w:rsidR="00BB3BDB" w:rsidRPr="00434DFF">
        <w:rPr>
          <w:rFonts w:ascii="Calibri" w:hAnsi="Calibri" w:cs="Arial"/>
        </w:rPr>
        <w:t xml:space="preserve"> to achieve a return on Fund assets which is sufficient over the long term to meet the funding objectives as outlined in the Funding Strategy Statement.</w:t>
      </w:r>
      <w:r w:rsidR="00ED0E01" w:rsidRPr="00434DFF">
        <w:rPr>
          <w:rFonts w:ascii="Calibri" w:hAnsi="Calibri" w:cs="Arial"/>
        </w:rPr>
        <w:t xml:space="preserve">  Investment returns are generated by a combination of income (from dividends, </w:t>
      </w:r>
      <w:r w:rsidR="00E579FD" w:rsidRPr="00434DFF">
        <w:rPr>
          <w:rFonts w:ascii="Calibri" w:hAnsi="Calibri" w:cs="Arial"/>
        </w:rPr>
        <w:t>interest,</w:t>
      </w:r>
      <w:r w:rsidR="00ED0E01" w:rsidRPr="00434DFF">
        <w:rPr>
          <w:rFonts w:ascii="Calibri" w:hAnsi="Calibri" w:cs="Arial"/>
        </w:rPr>
        <w:t xml:space="preserve"> and rents) and gains or losses on capital.</w:t>
      </w:r>
    </w:p>
    <w:p w14:paraId="619E81BA" w14:textId="77777777" w:rsidR="00D1522D" w:rsidRPr="00D1522D" w:rsidRDefault="00D1522D" w:rsidP="00ED0E01">
      <w:pPr>
        <w:spacing w:before="0" w:after="0" w:line="240" w:lineRule="auto"/>
        <w:ind w:left="567"/>
        <w:jc w:val="both"/>
        <w:rPr>
          <w:rFonts w:ascii="Calibri" w:hAnsi="Calibri" w:cs="Arial"/>
        </w:rPr>
      </w:pPr>
    </w:p>
    <w:p w14:paraId="18E3AC37" w14:textId="0C5DA50F" w:rsidR="00C91834" w:rsidRPr="00434DFF" w:rsidRDefault="00434DFF" w:rsidP="00434DFF">
      <w:pPr>
        <w:spacing w:before="0" w:after="0" w:line="240" w:lineRule="auto"/>
        <w:ind w:left="567" w:hanging="567"/>
        <w:jc w:val="both"/>
        <w:rPr>
          <w:rFonts w:ascii="Calibri" w:hAnsi="Calibri" w:cs="Arial"/>
        </w:rPr>
      </w:pPr>
      <w:r>
        <w:rPr>
          <w:rFonts w:ascii="Calibri" w:hAnsi="Calibri" w:cs="Arial"/>
        </w:rPr>
        <w:t>5.4</w:t>
      </w:r>
      <w:r>
        <w:rPr>
          <w:rFonts w:ascii="Calibri" w:hAnsi="Calibri" w:cs="Arial"/>
        </w:rPr>
        <w:tab/>
      </w:r>
      <w:r w:rsidR="005E0532" w:rsidRPr="00434DFF">
        <w:rPr>
          <w:rFonts w:ascii="Calibri" w:hAnsi="Calibri" w:cs="Arial"/>
        </w:rPr>
        <w:t>In effect, the Fund</w:t>
      </w:r>
      <w:r w:rsidR="00270E16" w:rsidRPr="00434DFF">
        <w:rPr>
          <w:rFonts w:ascii="Calibri" w:hAnsi="Calibri" w:cs="Arial"/>
        </w:rPr>
        <w:t>’</w:t>
      </w:r>
      <w:r w:rsidRPr="00434DFF">
        <w:rPr>
          <w:rFonts w:ascii="Calibri" w:hAnsi="Calibri" w:cs="Arial"/>
        </w:rPr>
        <w:t>s</w:t>
      </w:r>
      <w:r w:rsidR="00270E16" w:rsidRPr="00434DFF">
        <w:rPr>
          <w:rFonts w:ascii="Calibri" w:hAnsi="Calibri" w:cs="Arial"/>
        </w:rPr>
        <w:t xml:space="preserve"> objective </w:t>
      </w:r>
      <w:r w:rsidRPr="00434DFF">
        <w:rPr>
          <w:rFonts w:ascii="Calibri" w:hAnsi="Calibri" w:cs="Arial"/>
        </w:rPr>
        <w:t>is</w:t>
      </w:r>
      <w:r w:rsidR="00270E16" w:rsidRPr="00434DFF">
        <w:rPr>
          <w:rFonts w:ascii="Calibri" w:hAnsi="Calibri" w:cs="Arial"/>
        </w:rPr>
        <w:t xml:space="preserve"> to </w:t>
      </w:r>
      <w:r w:rsidR="005E0532" w:rsidRPr="00434DFF">
        <w:rPr>
          <w:rFonts w:ascii="Calibri" w:hAnsi="Calibri" w:cs="Arial"/>
        </w:rPr>
        <w:t xml:space="preserve">generate sufficient long term returns to </w:t>
      </w:r>
      <w:r w:rsidR="00ED0E01" w:rsidRPr="00434DFF">
        <w:rPr>
          <w:rFonts w:ascii="Calibri" w:hAnsi="Calibri" w:cs="Arial"/>
        </w:rPr>
        <w:t xml:space="preserve">pay promised pensions and to </w:t>
      </w:r>
      <w:r w:rsidR="005E0532" w:rsidRPr="00434DFF">
        <w:rPr>
          <w:rFonts w:ascii="Calibri" w:hAnsi="Calibri" w:cs="Arial"/>
        </w:rPr>
        <w:t>make the scheme affordable to employers now and in the future</w:t>
      </w:r>
      <w:r w:rsidR="00027B1D" w:rsidRPr="00434DFF">
        <w:rPr>
          <w:rFonts w:ascii="Calibri" w:hAnsi="Calibri" w:cs="Arial"/>
        </w:rPr>
        <w:t>,</w:t>
      </w:r>
      <w:r w:rsidR="005E0532" w:rsidRPr="00434DFF">
        <w:rPr>
          <w:rFonts w:ascii="Calibri" w:hAnsi="Calibri" w:cs="Arial"/>
        </w:rPr>
        <w:t xml:space="preserve"> while minimising the risk of having to increase contribution rate</w:t>
      </w:r>
      <w:r w:rsidR="00D53D05" w:rsidRPr="00434DFF">
        <w:rPr>
          <w:rFonts w:ascii="Calibri" w:hAnsi="Calibri" w:cs="Arial"/>
        </w:rPr>
        <w:t>s</w:t>
      </w:r>
      <w:r w:rsidR="005E0532" w:rsidRPr="00434DFF">
        <w:rPr>
          <w:rFonts w:ascii="Calibri" w:hAnsi="Calibri" w:cs="Arial"/>
        </w:rPr>
        <w:t xml:space="preserve"> in the futu</w:t>
      </w:r>
      <w:r w:rsidR="00EB70D7" w:rsidRPr="00434DFF">
        <w:rPr>
          <w:rFonts w:ascii="Calibri" w:hAnsi="Calibri" w:cs="Arial"/>
        </w:rPr>
        <w:t>re.</w:t>
      </w:r>
    </w:p>
    <w:p w14:paraId="7152862E" w14:textId="77777777" w:rsidR="00C91834" w:rsidRPr="00C91834" w:rsidRDefault="00C91834" w:rsidP="00ED0E01">
      <w:pPr>
        <w:spacing w:before="0" w:after="0" w:line="240" w:lineRule="auto"/>
        <w:ind w:left="567"/>
        <w:jc w:val="both"/>
        <w:rPr>
          <w:rFonts w:ascii="Calibri" w:hAnsi="Calibri" w:cs="Arial"/>
        </w:rPr>
      </w:pPr>
    </w:p>
    <w:p w14:paraId="05F28881" w14:textId="31B149F4" w:rsidR="00C91834" w:rsidRPr="00434DFF" w:rsidRDefault="00434DFF" w:rsidP="00434DFF">
      <w:pPr>
        <w:spacing w:before="0" w:after="0" w:line="240" w:lineRule="auto"/>
        <w:ind w:left="567" w:hanging="567"/>
        <w:jc w:val="both"/>
        <w:rPr>
          <w:rFonts w:ascii="Calibri" w:hAnsi="Calibri" w:cs="Arial"/>
        </w:rPr>
      </w:pPr>
      <w:r>
        <w:rPr>
          <w:rFonts w:ascii="Calibri" w:hAnsi="Calibri" w:cs="Arial"/>
        </w:rPr>
        <w:t>5.5</w:t>
      </w:r>
      <w:r>
        <w:rPr>
          <w:rFonts w:ascii="Calibri" w:hAnsi="Calibri" w:cs="Arial"/>
        </w:rPr>
        <w:tab/>
      </w:r>
      <w:r w:rsidR="00C91834" w:rsidRPr="00434DFF">
        <w:rPr>
          <w:rFonts w:ascii="Calibri" w:hAnsi="Calibri" w:cs="Arial"/>
        </w:rPr>
        <w:t xml:space="preserve">Committee has </w:t>
      </w:r>
      <w:r w:rsidR="00D644EA" w:rsidRPr="00434DFF">
        <w:rPr>
          <w:rFonts w:ascii="Calibri" w:hAnsi="Calibri" w:cs="Arial"/>
        </w:rPr>
        <w:t xml:space="preserve">set </w:t>
      </w:r>
      <w:r w:rsidR="00153B43">
        <w:rPr>
          <w:rFonts w:ascii="Calibri" w:hAnsi="Calibri" w:cs="Arial"/>
        </w:rPr>
        <w:t xml:space="preserve">an </w:t>
      </w:r>
      <w:r w:rsidR="00D644EA" w:rsidRPr="00434DFF">
        <w:rPr>
          <w:rFonts w:ascii="Calibri" w:hAnsi="Calibri" w:cs="Arial"/>
        </w:rPr>
        <w:t xml:space="preserve">investment strategy with reference to the </w:t>
      </w:r>
      <w:r w:rsidR="00C91834" w:rsidRPr="00434DFF">
        <w:rPr>
          <w:rFonts w:ascii="Calibri" w:hAnsi="Calibri" w:cs="Arial"/>
        </w:rPr>
        <w:t xml:space="preserve">following </w:t>
      </w:r>
      <w:r w:rsidR="00BC1209" w:rsidRPr="00434DFF">
        <w:rPr>
          <w:rFonts w:ascii="Calibri" w:hAnsi="Calibri" w:cs="Arial"/>
          <w:b/>
        </w:rPr>
        <w:t xml:space="preserve">policy groups, </w:t>
      </w:r>
      <w:r w:rsidR="007D4D33" w:rsidRPr="00434DFF">
        <w:rPr>
          <w:rFonts w:ascii="Calibri" w:hAnsi="Calibri" w:cs="Arial"/>
        </w:rPr>
        <w:t>which</w:t>
      </w:r>
      <w:r w:rsidR="007D4D33" w:rsidRPr="00434DFF">
        <w:rPr>
          <w:rFonts w:ascii="Calibri" w:hAnsi="Calibri" w:cs="Arial"/>
          <w:b/>
        </w:rPr>
        <w:t xml:space="preserve"> </w:t>
      </w:r>
      <w:r w:rsidR="00E87A00" w:rsidRPr="00434DFF">
        <w:rPr>
          <w:rFonts w:ascii="Calibri" w:hAnsi="Calibri" w:cs="Arial"/>
        </w:rPr>
        <w:t>are regarded as the key determinants of risk and return. The policy groups condense the vast array of investment choices into a manageable number of investment groups with broadly similar characteristics:</w:t>
      </w:r>
    </w:p>
    <w:p w14:paraId="446B5EA8" w14:textId="77777777" w:rsidR="00C91834" w:rsidRDefault="00C91834" w:rsidP="00C91834">
      <w:pPr>
        <w:pStyle w:val="ListParagraph"/>
        <w:spacing w:before="0" w:after="0" w:line="240" w:lineRule="auto"/>
        <w:ind w:left="567"/>
        <w:jc w:val="both"/>
        <w:rPr>
          <w:rFonts w:ascii="Calibri" w:hAnsi="Calibri" w:cs="Arial"/>
        </w:rPr>
      </w:pPr>
    </w:p>
    <w:p w14:paraId="661B29CC" w14:textId="6D77C652" w:rsidR="00C91834" w:rsidRDefault="00C91834" w:rsidP="00EB35F1">
      <w:pPr>
        <w:pStyle w:val="ListParagraph"/>
        <w:numPr>
          <w:ilvl w:val="0"/>
          <w:numId w:val="7"/>
        </w:numPr>
        <w:spacing w:before="0" w:after="0" w:line="240" w:lineRule="auto"/>
        <w:ind w:left="851" w:hanging="284"/>
        <w:jc w:val="both"/>
        <w:rPr>
          <w:rFonts w:ascii="Calibri" w:hAnsi="Calibri" w:cs="Arial"/>
        </w:rPr>
      </w:pPr>
      <w:r w:rsidRPr="00DA0BA4">
        <w:rPr>
          <w:rFonts w:ascii="Calibri" w:hAnsi="Calibri" w:cs="Arial"/>
          <w:b/>
          <w:u w:val="single"/>
        </w:rPr>
        <w:t>Equities</w:t>
      </w:r>
      <w:r>
        <w:rPr>
          <w:rFonts w:ascii="Calibri" w:hAnsi="Calibri" w:cs="Arial"/>
        </w:rPr>
        <w:t xml:space="preserve"> provide an equitable share in the assets and profits of companies.  Income is provided through </w:t>
      </w:r>
      <w:r w:rsidR="00D53D05" w:rsidRPr="00526DC0">
        <w:rPr>
          <w:rFonts w:ascii="Calibri" w:hAnsi="Calibri" w:cs="Arial"/>
        </w:rPr>
        <w:t xml:space="preserve">discretionary </w:t>
      </w:r>
      <w:r w:rsidRPr="00526DC0">
        <w:rPr>
          <w:rFonts w:ascii="Calibri" w:hAnsi="Calibri" w:cs="Arial"/>
        </w:rPr>
        <w:t>share</w:t>
      </w:r>
      <w:r>
        <w:rPr>
          <w:rFonts w:ascii="Calibri" w:hAnsi="Calibri" w:cs="Arial"/>
        </w:rPr>
        <w:t xml:space="preserve"> dividends.  Equities are listed in the UK or overseas</w:t>
      </w:r>
      <w:r w:rsidR="00A27937">
        <w:rPr>
          <w:rFonts w:ascii="Calibri" w:hAnsi="Calibri" w:cs="Arial"/>
        </w:rPr>
        <w:t>;</w:t>
      </w:r>
      <w:r>
        <w:rPr>
          <w:rFonts w:ascii="Calibri" w:hAnsi="Calibri" w:cs="Arial"/>
        </w:rPr>
        <w:t xml:space="preserve"> or are unlisted (private equity).  Equities have historically produced returns above inflation.</w:t>
      </w:r>
    </w:p>
    <w:p w14:paraId="3B1F5DFD" w14:textId="77777777" w:rsidR="00C91834" w:rsidRDefault="00C91834" w:rsidP="00C91834">
      <w:pPr>
        <w:pStyle w:val="ListParagraph"/>
        <w:spacing w:before="0" w:after="0" w:line="240" w:lineRule="auto"/>
        <w:ind w:left="851"/>
        <w:jc w:val="both"/>
        <w:rPr>
          <w:rFonts w:ascii="Calibri" w:hAnsi="Calibri" w:cs="Arial"/>
        </w:rPr>
      </w:pPr>
    </w:p>
    <w:p w14:paraId="3D657572" w14:textId="7B54A88B" w:rsidR="00C91834" w:rsidRPr="0055105A" w:rsidRDefault="008870DE" w:rsidP="00EB35F1">
      <w:pPr>
        <w:pStyle w:val="ListParagraph"/>
        <w:numPr>
          <w:ilvl w:val="0"/>
          <w:numId w:val="7"/>
        </w:numPr>
        <w:spacing w:before="0" w:after="0" w:line="240" w:lineRule="auto"/>
        <w:ind w:left="851" w:hanging="284"/>
        <w:jc w:val="both"/>
        <w:rPr>
          <w:rFonts w:ascii="Calibri" w:hAnsi="Calibri" w:cs="Arial"/>
        </w:rPr>
      </w:pPr>
      <w:proofErr w:type="gramStart"/>
      <w:r>
        <w:rPr>
          <w:rFonts w:ascii="Calibri" w:hAnsi="Calibri" w:cs="Arial"/>
          <w:b/>
          <w:u w:val="single"/>
        </w:rPr>
        <w:t>Sovereigns</w:t>
      </w:r>
      <w:r w:rsidR="0027271E">
        <w:rPr>
          <w:rFonts w:ascii="Calibri" w:hAnsi="Calibri" w:cs="Arial"/>
          <w:b/>
          <w:u w:val="single"/>
        </w:rPr>
        <w:t xml:space="preserve"> </w:t>
      </w:r>
      <w:r w:rsidR="00C91834" w:rsidRPr="00DA0BA4">
        <w:rPr>
          <w:rFonts w:ascii="Calibri" w:hAnsi="Calibri" w:cs="Arial"/>
          <w:b/>
        </w:rPr>
        <w:t xml:space="preserve"> </w:t>
      </w:r>
      <w:r w:rsidR="00C91834">
        <w:rPr>
          <w:rFonts w:ascii="Calibri" w:hAnsi="Calibri" w:cs="Arial"/>
        </w:rPr>
        <w:t>are</w:t>
      </w:r>
      <w:proofErr w:type="gramEnd"/>
      <w:r w:rsidR="00AE7A1F">
        <w:rPr>
          <w:rFonts w:ascii="Calibri" w:hAnsi="Calibri" w:cs="Arial"/>
        </w:rPr>
        <w:t xml:space="preserve"> </w:t>
      </w:r>
      <w:r>
        <w:rPr>
          <w:rFonts w:ascii="Calibri" w:hAnsi="Calibri" w:cs="Arial"/>
        </w:rPr>
        <w:t>bonds</w:t>
      </w:r>
      <w:r w:rsidR="00AE7A1F">
        <w:rPr>
          <w:rFonts w:ascii="Calibri" w:hAnsi="Calibri" w:cs="Arial"/>
        </w:rPr>
        <w:t>, which are</w:t>
      </w:r>
      <w:r w:rsidR="00C91834">
        <w:rPr>
          <w:rFonts w:ascii="Calibri" w:hAnsi="Calibri" w:cs="Arial"/>
        </w:rPr>
        <w:t xml:space="preserve"> debt instruments issued by </w:t>
      </w:r>
      <w:r>
        <w:rPr>
          <w:rFonts w:ascii="Calibri" w:hAnsi="Calibri" w:cs="Arial"/>
        </w:rPr>
        <w:t>sovereign</w:t>
      </w:r>
      <w:r w:rsidR="00C91834">
        <w:rPr>
          <w:rFonts w:ascii="Calibri" w:hAnsi="Calibri" w:cs="Arial"/>
        </w:rPr>
        <w:t xml:space="preserve"> </w:t>
      </w:r>
      <w:r>
        <w:rPr>
          <w:rFonts w:ascii="Calibri" w:hAnsi="Calibri" w:cs="Arial"/>
        </w:rPr>
        <w:t>g</w:t>
      </w:r>
      <w:r w:rsidR="00C91834">
        <w:rPr>
          <w:rFonts w:ascii="Calibri" w:hAnsi="Calibri" w:cs="Arial"/>
        </w:rPr>
        <w:t>overnment</w:t>
      </w:r>
      <w:r>
        <w:rPr>
          <w:rFonts w:ascii="Calibri" w:hAnsi="Calibri" w:cs="Arial"/>
        </w:rPr>
        <w:t>s (such as the UK and US)</w:t>
      </w:r>
      <w:r w:rsidR="000736BD">
        <w:rPr>
          <w:rFonts w:ascii="Calibri" w:hAnsi="Calibri" w:cs="Arial"/>
        </w:rPr>
        <w:t xml:space="preserve">.  </w:t>
      </w:r>
      <w:r w:rsidR="00C91834">
        <w:rPr>
          <w:rFonts w:ascii="Calibri" w:hAnsi="Calibri" w:cs="Arial"/>
        </w:rPr>
        <w:t xml:space="preserve">Typically, these provide interest payments on a regular basis over the life of the loan until capital is repaid at maturity.  Some </w:t>
      </w:r>
      <w:r>
        <w:rPr>
          <w:rFonts w:ascii="Calibri" w:hAnsi="Calibri" w:cs="Arial"/>
        </w:rPr>
        <w:t xml:space="preserve">bonds </w:t>
      </w:r>
      <w:r w:rsidR="00C91834">
        <w:rPr>
          <w:rFonts w:ascii="Calibri" w:hAnsi="Calibri" w:cs="Arial"/>
        </w:rPr>
        <w:t>provide interest payments and capital repayment value that is directly linked to</w:t>
      </w:r>
      <w:r w:rsidR="00C91834" w:rsidRPr="0055105A">
        <w:rPr>
          <w:rFonts w:ascii="Calibri" w:hAnsi="Calibri" w:cs="Arial"/>
        </w:rPr>
        <w:t xml:space="preserve"> price</w:t>
      </w:r>
      <w:r w:rsidR="00C91834">
        <w:rPr>
          <w:rFonts w:ascii="Calibri" w:hAnsi="Calibri" w:cs="Arial"/>
        </w:rPr>
        <w:t xml:space="preserve"> inflation (</w:t>
      </w:r>
      <w:r w:rsidR="00C91834" w:rsidRPr="0055105A">
        <w:rPr>
          <w:rFonts w:ascii="Calibri" w:hAnsi="Calibri" w:cs="Arial"/>
        </w:rPr>
        <w:t>the Retail Price Index (RPI)</w:t>
      </w:r>
      <w:r>
        <w:rPr>
          <w:rFonts w:ascii="Calibri" w:hAnsi="Calibri" w:cs="Arial"/>
        </w:rPr>
        <w:t xml:space="preserve"> in the UK</w:t>
      </w:r>
      <w:r w:rsidR="00C91834">
        <w:rPr>
          <w:rFonts w:ascii="Calibri" w:hAnsi="Calibri" w:cs="Arial"/>
        </w:rPr>
        <w:t>).  These</w:t>
      </w:r>
      <w:r w:rsidR="00C91834" w:rsidRPr="0055105A">
        <w:rPr>
          <w:rFonts w:ascii="Calibri" w:hAnsi="Calibri" w:cs="Arial"/>
        </w:rPr>
        <w:t xml:space="preserve"> are known as </w:t>
      </w:r>
      <w:r w:rsidR="00C91834" w:rsidRPr="00334A8E">
        <w:rPr>
          <w:rFonts w:ascii="Calibri" w:hAnsi="Calibri" w:cs="Arial"/>
        </w:rPr>
        <w:t>Index Linked Gilts</w:t>
      </w:r>
      <w:r w:rsidR="00C91834">
        <w:rPr>
          <w:rFonts w:ascii="Calibri" w:hAnsi="Calibri" w:cs="Arial"/>
        </w:rPr>
        <w:t xml:space="preserve"> and they </w:t>
      </w:r>
      <w:r w:rsidR="00C91834" w:rsidRPr="0055105A">
        <w:rPr>
          <w:rFonts w:ascii="Calibri" w:hAnsi="Calibri" w:cs="Arial"/>
        </w:rPr>
        <w:t>provide the closest match to the Fund’</w:t>
      </w:r>
      <w:r w:rsidR="003B4F75">
        <w:rPr>
          <w:rFonts w:ascii="Calibri" w:hAnsi="Calibri" w:cs="Arial"/>
        </w:rPr>
        <w:t>s</w:t>
      </w:r>
      <w:r w:rsidR="00C91834" w:rsidRPr="0055105A">
        <w:rPr>
          <w:rFonts w:ascii="Calibri" w:hAnsi="Calibri" w:cs="Arial"/>
        </w:rPr>
        <w:t xml:space="preserve"> liabilities, </w:t>
      </w:r>
      <w:r w:rsidR="00C91834" w:rsidRPr="00526DC0">
        <w:rPr>
          <w:rFonts w:ascii="Calibri" w:hAnsi="Calibri" w:cs="Arial"/>
        </w:rPr>
        <w:t>most of which are inflation-linked</w:t>
      </w:r>
      <w:r w:rsidR="002D3483">
        <w:rPr>
          <w:rFonts w:ascii="Calibri" w:hAnsi="Calibri" w:cs="Arial"/>
        </w:rPr>
        <w:t xml:space="preserve">, albeit to a different </w:t>
      </w:r>
      <w:r w:rsidR="00AB5DD0">
        <w:rPr>
          <w:rFonts w:ascii="Calibri" w:hAnsi="Calibri" w:cs="Arial"/>
        </w:rPr>
        <w:t>measure of price inflation (the Consumer Price</w:t>
      </w:r>
      <w:r>
        <w:rPr>
          <w:rFonts w:ascii="Calibri" w:hAnsi="Calibri" w:cs="Arial"/>
        </w:rPr>
        <w:t>s</w:t>
      </w:r>
      <w:r w:rsidR="00AB5DD0">
        <w:rPr>
          <w:rFonts w:ascii="Calibri" w:hAnsi="Calibri" w:cs="Arial"/>
        </w:rPr>
        <w:t xml:space="preserve"> Index (CPI))</w:t>
      </w:r>
      <w:r w:rsidR="00C91834" w:rsidRPr="00526DC0">
        <w:rPr>
          <w:rFonts w:ascii="Calibri" w:hAnsi="Calibri" w:cs="Arial"/>
        </w:rPr>
        <w:t xml:space="preserve">.  </w:t>
      </w:r>
      <w:r w:rsidR="00D53D05" w:rsidRPr="00526DC0">
        <w:rPr>
          <w:rFonts w:ascii="Calibri" w:hAnsi="Calibri" w:cs="Arial"/>
        </w:rPr>
        <w:t>Some o</w:t>
      </w:r>
      <w:r w:rsidR="00C91834" w:rsidRPr="00526DC0">
        <w:rPr>
          <w:rFonts w:ascii="Calibri" w:hAnsi="Calibri" w:cs="Arial"/>
        </w:rPr>
        <w:t>ther governments</w:t>
      </w:r>
      <w:r>
        <w:rPr>
          <w:rFonts w:ascii="Calibri" w:hAnsi="Calibri" w:cs="Arial"/>
        </w:rPr>
        <w:t xml:space="preserve"> (such as the US)</w:t>
      </w:r>
      <w:r w:rsidR="00C91834" w:rsidRPr="00526DC0">
        <w:rPr>
          <w:rFonts w:ascii="Calibri" w:hAnsi="Calibri" w:cs="Arial"/>
        </w:rPr>
        <w:t xml:space="preserve"> </w:t>
      </w:r>
      <w:r w:rsidR="00D53D05" w:rsidRPr="00526DC0">
        <w:rPr>
          <w:rFonts w:ascii="Calibri" w:hAnsi="Calibri" w:cs="Arial"/>
        </w:rPr>
        <w:t xml:space="preserve">also </w:t>
      </w:r>
      <w:r w:rsidR="00C91834" w:rsidRPr="00526DC0">
        <w:rPr>
          <w:rFonts w:ascii="Calibri" w:hAnsi="Calibri" w:cs="Arial"/>
        </w:rPr>
        <w:t>issue this type of debt, but in different currencies</w:t>
      </w:r>
      <w:r w:rsidR="00C91834">
        <w:rPr>
          <w:rFonts w:ascii="Calibri" w:hAnsi="Calibri" w:cs="Arial"/>
        </w:rPr>
        <w:t xml:space="preserve"> tied to price inflation in their own countr</w:t>
      </w:r>
      <w:r w:rsidR="00D53D05">
        <w:rPr>
          <w:rFonts w:ascii="Calibri" w:hAnsi="Calibri" w:cs="Arial"/>
        </w:rPr>
        <w:t>ies</w:t>
      </w:r>
      <w:r w:rsidR="00C91834">
        <w:rPr>
          <w:rFonts w:ascii="Calibri" w:hAnsi="Calibri" w:cs="Arial"/>
        </w:rPr>
        <w:t xml:space="preserve">. </w:t>
      </w:r>
      <w:r w:rsidR="00C91834" w:rsidRPr="0055105A">
        <w:rPr>
          <w:rFonts w:ascii="Calibri" w:hAnsi="Calibri" w:cs="Arial"/>
        </w:rPr>
        <w:t xml:space="preserve">    </w:t>
      </w:r>
    </w:p>
    <w:p w14:paraId="78577BA4" w14:textId="77777777" w:rsidR="00C91834" w:rsidRPr="005328E2" w:rsidRDefault="00C91834" w:rsidP="00C91834">
      <w:pPr>
        <w:pStyle w:val="ListParagraph"/>
        <w:rPr>
          <w:rFonts w:ascii="Calibri" w:hAnsi="Calibri" w:cs="Arial"/>
        </w:rPr>
      </w:pPr>
    </w:p>
    <w:p w14:paraId="4F2F2BA1" w14:textId="059BFE89" w:rsidR="00C91834" w:rsidRDefault="008870DE" w:rsidP="00EB35F1">
      <w:pPr>
        <w:pStyle w:val="ListParagraph"/>
        <w:numPr>
          <w:ilvl w:val="0"/>
          <w:numId w:val="7"/>
        </w:numPr>
        <w:spacing w:before="0" w:after="0" w:line="240" w:lineRule="auto"/>
        <w:ind w:left="851" w:hanging="284"/>
        <w:jc w:val="both"/>
        <w:rPr>
          <w:rFonts w:ascii="Calibri" w:hAnsi="Calibri" w:cs="Arial"/>
        </w:rPr>
      </w:pPr>
      <w:r>
        <w:rPr>
          <w:rFonts w:ascii="Calibri" w:hAnsi="Calibri" w:cs="Arial"/>
          <w:b/>
          <w:u w:val="single"/>
        </w:rPr>
        <w:t>Credi</w:t>
      </w:r>
      <w:r w:rsidR="00C91834" w:rsidRPr="00DA0BA4">
        <w:rPr>
          <w:rFonts w:ascii="Calibri" w:hAnsi="Calibri" w:cs="Arial"/>
          <w:b/>
          <w:u w:val="single"/>
        </w:rPr>
        <w:t>t</w:t>
      </w:r>
      <w:r w:rsidR="00C91834">
        <w:rPr>
          <w:rFonts w:ascii="Calibri" w:hAnsi="Calibri" w:cs="Arial"/>
        </w:rPr>
        <w:t xml:space="preserve"> instruments are issued by a range of </w:t>
      </w:r>
      <w:r>
        <w:rPr>
          <w:rFonts w:ascii="Calibri" w:hAnsi="Calibri" w:cs="Arial"/>
        </w:rPr>
        <w:t xml:space="preserve">non-sovereign </w:t>
      </w:r>
      <w:r w:rsidR="00C91834">
        <w:rPr>
          <w:rFonts w:ascii="Calibri" w:hAnsi="Calibri" w:cs="Arial"/>
        </w:rPr>
        <w:t>borrowers to finance their activities in various sectors of the economy</w:t>
      </w:r>
      <w:r w:rsidR="00E466DB">
        <w:rPr>
          <w:rFonts w:ascii="Calibri" w:hAnsi="Calibri" w:cs="Arial"/>
        </w:rPr>
        <w:t>, which means that they carry varying degrees of credit risk.</w:t>
      </w:r>
      <w:r w:rsidR="00C91834">
        <w:rPr>
          <w:rFonts w:ascii="Calibri" w:hAnsi="Calibri" w:cs="Arial"/>
        </w:rPr>
        <w:t xml:space="preserve">  Income is provided through interest, which is typically paid to the lender on a regular basis until the loan capital is repaid, generally at par by the issuer at a pre-determined date.  Bonds can pay a fixed, </w:t>
      </w:r>
      <w:r w:rsidR="00E579FD">
        <w:rPr>
          <w:rFonts w:ascii="Calibri" w:hAnsi="Calibri" w:cs="Arial"/>
        </w:rPr>
        <w:t>variable,</w:t>
      </w:r>
      <w:r w:rsidR="00C91834">
        <w:rPr>
          <w:rFonts w:ascii="Calibri" w:hAnsi="Calibri" w:cs="Arial"/>
        </w:rPr>
        <w:t xml:space="preserve"> or inflation-linked rate of interest.  Bonds are listed in the UK or </w:t>
      </w:r>
      <w:r w:rsidR="00E579FD">
        <w:rPr>
          <w:rFonts w:ascii="Calibri" w:hAnsi="Calibri" w:cs="Arial"/>
        </w:rPr>
        <w:t>overseas or</w:t>
      </w:r>
      <w:r w:rsidR="00C91834">
        <w:rPr>
          <w:rFonts w:ascii="Calibri" w:hAnsi="Calibri" w:cs="Arial"/>
        </w:rPr>
        <w:t xml:space="preserve"> are unlisted (private debt).  </w:t>
      </w:r>
    </w:p>
    <w:p w14:paraId="5FA98C70" w14:textId="77777777" w:rsidR="00C91834" w:rsidRPr="00DA2708" w:rsidRDefault="00C91834" w:rsidP="00C91834">
      <w:pPr>
        <w:pStyle w:val="ListParagraph"/>
        <w:rPr>
          <w:rFonts w:ascii="Calibri" w:hAnsi="Calibri" w:cs="Arial"/>
        </w:rPr>
      </w:pPr>
    </w:p>
    <w:p w14:paraId="067D936F" w14:textId="6FDB59AB" w:rsidR="00C91834" w:rsidRDefault="00C91834" w:rsidP="00EB35F1">
      <w:pPr>
        <w:pStyle w:val="ListParagraph"/>
        <w:numPr>
          <w:ilvl w:val="0"/>
          <w:numId w:val="7"/>
        </w:numPr>
        <w:spacing w:before="0" w:after="0" w:line="240" w:lineRule="auto"/>
        <w:ind w:left="851" w:hanging="284"/>
        <w:jc w:val="both"/>
        <w:rPr>
          <w:rFonts w:ascii="Calibri" w:hAnsi="Calibri" w:cs="Arial"/>
        </w:rPr>
      </w:pPr>
      <w:r w:rsidRPr="00DA0BA4">
        <w:rPr>
          <w:rFonts w:ascii="Calibri" w:hAnsi="Calibri" w:cs="Arial"/>
          <w:b/>
          <w:u w:val="single"/>
        </w:rPr>
        <w:lastRenderedPageBreak/>
        <w:t>Real Assets</w:t>
      </w:r>
      <w:r>
        <w:rPr>
          <w:rFonts w:ascii="Calibri" w:hAnsi="Calibri" w:cs="Arial"/>
        </w:rPr>
        <w:t xml:space="preserve"> are typically investments in a share of income and capital appreciation of tangible assets, including </w:t>
      </w:r>
      <w:r w:rsidRPr="004B2DDC">
        <w:rPr>
          <w:rFonts w:ascii="Calibri" w:hAnsi="Calibri" w:cs="Arial"/>
          <w:b/>
        </w:rPr>
        <w:t>property</w:t>
      </w:r>
      <w:r>
        <w:rPr>
          <w:rFonts w:ascii="Calibri" w:hAnsi="Calibri" w:cs="Arial"/>
        </w:rPr>
        <w:t xml:space="preserve"> (land and/or buildings for commercial or residential use), </w:t>
      </w:r>
      <w:r w:rsidRPr="004B2DDC">
        <w:rPr>
          <w:rFonts w:ascii="Calibri" w:hAnsi="Calibri" w:cs="Arial"/>
          <w:b/>
        </w:rPr>
        <w:t>infrastructure</w:t>
      </w:r>
      <w:r>
        <w:rPr>
          <w:rFonts w:ascii="Calibri" w:hAnsi="Calibri" w:cs="Arial"/>
        </w:rPr>
        <w:t xml:space="preserve"> (assets deemed essential to the orderly functioning of daily life, such as renewable energy generation and transmission assets, water utilities, </w:t>
      </w:r>
      <w:r w:rsidR="00E579FD">
        <w:rPr>
          <w:rFonts w:ascii="Calibri" w:hAnsi="Calibri" w:cs="Arial"/>
        </w:rPr>
        <w:t>airports,</w:t>
      </w:r>
      <w:r>
        <w:rPr>
          <w:rFonts w:ascii="Calibri" w:hAnsi="Calibri" w:cs="Arial"/>
        </w:rPr>
        <w:t xml:space="preserve"> and toll roads) and </w:t>
      </w:r>
      <w:r w:rsidRPr="004B2DDC">
        <w:rPr>
          <w:rFonts w:ascii="Calibri" w:hAnsi="Calibri" w:cs="Arial"/>
          <w:b/>
        </w:rPr>
        <w:t>timberlands</w:t>
      </w:r>
      <w:r>
        <w:rPr>
          <w:rFonts w:ascii="Calibri" w:hAnsi="Calibri" w:cs="Arial"/>
        </w:rPr>
        <w:t>.  Income comes from dividends and rents.</w:t>
      </w:r>
    </w:p>
    <w:p w14:paraId="1A8DCEA3" w14:textId="77777777" w:rsidR="00C91834" w:rsidRPr="00C91834" w:rsidRDefault="00C91834" w:rsidP="00C91834">
      <w:pPr>
        <w:pStyle w:val="ListParagraph"/>
        <w:rPr>
          <w:rFonts w:ascii="Calibri" w:hAnsi="Calibri" w:cs="Arial"/>
          <w:u w:val="single"/>
        </w:rPr>
      </w:pPr>
    </w:p>
    <w:p w14:paraId="4D3CF75D" w14:textId="7138E3B3" w:rsidR="00C91834" w:rsidRPr="00C91834" w:rsidRDefault="00C91834" w:rsidP="00EB35F1">
      <w:pPr>
        <w:pStyle w:val="ListParagraph"/>
        <w:numPr>
          <w:ilvl w:val="0"/>
          <w:numId w:val="7"/>
        </w:numPr>
        <w:spacing w:before="0" w:after="0" w:line="240" w:lineRule="auto"/>
        <w:ind w:left="851" w:hanging="284"/>
        <w:jc w:val="both"/>
        <w:rPr>
          <w:rFonts w:ascii="Calibri" w:hAnsi="Calibri" w:cs="Arial"/>
        </w:rPr>
      </w:pPr>
      <w:r w:rsidRPr="00DA0BA4">
        <w:rPr>
          <w:rFonts w:ascii="Calibri" w:hAnsi="Calibri" w:cs="Arial"/>
          <w:b/>
          <w:u w:val="single"/>
        </w:rPr>
        <w:t>Cash</w:t>
      </w:r>
      <w:r w:rsidRPr="00C91834">
        <w:rPr>
          <w:rFonts w:ascii="Calibri" w:hAnsi="Calibri" w:cs="Arial"/>
        </w:rPr>
        <w:t xml:space="preserve"> is also a form of investment used to provide instant or short-term </w:t>
      </w:r>
      <w:r w:rsidR="00E579FD" w:rsidRPr="00C91834">
        <w:rPr>
          <w:rFonts w:ascii="Calibri" w:hAnsi="Calibri" w:cs="Arial"/>
        </w:rPr>
        <w:t>liquidity and</w:t>
      </w:r>
      <w:r w:rsidRPr="00C91834">
        <w:rPr>
          <w:rFonts w:ascii="Calibri" w:hAnsi="Calibri" w:cs="Arial"/>
        </w:rPr>
        <w:t xml:space="preserve"> can be held in both sterling and foreign currenc</w:t>
      </w:r>
      <w:r w:rsidR="008843E0">
        <w:rPr>
          <w:rFonts w:ascii="Calibri" w:hAnsi="Calibri" w:cs="Arial"/>
        </w:rPr>
        <w:t>ies</w:t>
      </w:r>
      <w:r w:rsidRPr="00C91834">
        <w:rPr>
          <w:rFonts w:ascii="Calibri" w:hAnsi="Calibri" w:cs="Arial"/>
        </w:rPr>
        <w:t xml:space="preserve"> (including Treasury Bills, Money Market Funds and Secured Investments).  Cash generates interest income, but typically</w:t>
      </w:r>
      <w:r w:rsidR="008870DE">
        <w:rPr>
          <w:rFonts w:ascii="Calibri" w:hAnsi="Calibri" w:cs="Arial"/>
        </w:rPr>
        <w:t xml:space="preserve"> at</w:t>
      </w:r>
      <w:r w:rsidRPr="00C91834">
        <w:rPr>
          <w:rFonts w:ascii="Calibri" w:hAnsi="Calibri" w:cs="Arial"/>
        </w:rPr>
        <w:t xml:space="preserve"> a lower </w:t>
      </w:r>
      <w:r w:rsidRPr="002F6B13">
        <w:rPr>
          <w:rFonts w:ascii="Calibri" w:hAnsi="Calibri" w:cs="Arial"/>
        </w:rPr>
        <w:t>rate than</w:t>
      </w:r>
      <w:r w:rsidR="008843E0">
        <w:rPr>
          <w:rFonts w:ascii="Calibri" w:hAnsi="Calibri" w:cs="Arial"/>
        </w:rPr>
        <w:t xml:space="preserve"> </w:t>
      </w:r>
      <w:r w:rsidRPr="00C91834">
        <w:rPr>
          <w:rFonts w:ascii="Calibri" w:hAnsi="Calibri" w:cs="Arial"/>
        </w:rPr>
        <w:t xml:space="preserve">bonds and other debt.  </w:t>
      </w:r>
    </w:p>
    <w:p w14:paraId="36EA94CF" w14:textId="77777777" w:rsidR="00C91834" w:rsidRDefault="00C91834" w:rsidP="00C91834">
      <w:pPr>
        <w:spacing w:before="0" w:after="0" w:line="240" w:lineRule="auto"/>
        <w:jc w:val="both"/>
        <w:rPr>
          <w:rFonts w:ascii="Calibri" w:hAnsi="Calibri" w:cs="Arial"/>
        </w:rPr>
      </w:pPr>
    </w:p>
    <w:p w14:paraId="605BA3DC" w14:textId="3BBAB911" w:rsidR="00C91834" w:rsidRDefault="00274CE4" w:rsidP="00274CE4">
      <w:pPr>
        <w:spacing w:before="0" w:after="0" w:line="240" w:lineRule="auto"/>
        <w:ind w:left="567" w:hanging="567"/>
        <w:jc w:val="both"/>
        <w:rPr>
          <w:rFonts w:ascii="Calibri" w:hAnsi="Calibri" w:cs="Arial"/>
        </w:rPr>
      </w:pPr>
      <w:r>
        <w:rPr>
          <w:rFonts w:ascii="Calibri" w:hAnsi="Calibri" w:cs="Arial"/>
        </w:rPr>
        <w:t>5.6</w:t>
      </w:r>
      <w:r>
        <w:rPr>
          <w:rFonts w:ascii="Calibri" w:hAnsi="Calibri" w:cs="Arial"/>
        </w:rPr>
        <w:tab/>
      </w:r>
      <w:r w:rsidR="00A37114" w:rsidRPr="00274CE4">
        <w:rPr>
          <w:rFonts w:ascii="Calibri" w:hAnsi="Calibri" w:cs="Arial"/>
        </w:rPr>
        <w:t xml:space="preserve">As the returns of the above investments are not completely correlated, the Fund </w:t>
      </w:r>
      <w:r w:rsidR="00FB282D" w:rsidRPr="00274CE4">
        <w:rPr>
          <w:rFonts w:ascii="Calibri" w:hAnsi="Calibri" w:cs="Arial"/>
        </w:rPr>
        <w:t>expect</w:t>
      </w:r>
      <w:r w:rsidR="00334A8E">
        <w:rPr>
          <w:rFonts w:ascii="Calibri" w:hAnsi="Calibri" w:cs="Arial"/>
        </w:rPr>
        <w:t>s</w:t>
      </w:r>
      <w:r w:rsidR="00FB282D" w:rsidRPr="00274CE4">
        <w:rPr>
          <w:rFonts w:ascii="Calibri" w:hAnsi="Calibri" w:cs="Arial"/>
        </w:rPr>
        <w:t xml:space="preserve"> to </w:t>
      </w:r>
      <w:r w:rsidR="00A37114" w:rsidRPr="00274CE4">
        <w:rPr>
          <w:rFonts w:ascii="Calibri" w:hAnsi="Calibri" w:cs="Arial"/>
        </w:rPr>
        <w:t>achieve diversification and better risk-adjusted returns by investing in a</w:t>
      </w:r>
      <w:r w:rsidR="00FB282D" w:rsidRPr="00274CE4">
        <w:rPr>
          <w:rFonts w:ascii="Calibri" w:hAnsi="Calibri" w:cs="Arial"/>
        </w:rPr>
        <w:t>ssets from each policy group.</w:t>
      </w:r>
      <w:r w:rsidR="008843E0" w:rsidRPr="00274CE4">
        <w:rPr>
          <w:rFonts w:ascii="Calibri" w:hAnsi="Calibri" w:cs="Arial"/>
        </w:rPr>
        <w:t xml:space="preserve"> </w:t>
      </w:r>
    </w:p>
    <w:p w14:paraId="7B7260A1" w14:textId="77777777" w:rsidR="00C43A8A" w:rsidRDefault="00C43A8A" w:rsidP="00274CE4">
      <w:pPr>
        <w:spacing w:before="0" w:after="0" w:line="240" w:lineRule="auto"/>
        <w:ind w:left="567" w:hanging="567"/>
        <w:jc w:val="both"/>
        <w:rPr>
          <w:rFonts w:ascii="Calibri" w:hAnsi="Calibri" w:cs="Arial"/>
        </w:rPr>
      </w:pPr>
    </w:p>
    <w:p w14:paraId="6DF1F274" w14:textId="042507D7" w:rsidR="00C43A8A" w:rsidRPr="00274CE4" w:rsidRDefault="00C43A8A" w:rsidP="00274CE4">
      <w:pPr>
        <w:spacing w:before="0" w:after="0" w:line="240" w:lineRule="auto"/>
        <w:ind w:left="567" w:hanging="567"/>
        <w:jc w:val="both"/>
        <w:rPr>
          <w:rFonts w:ascii="Calibri" w:hAnsi="Calibri" w:cs="Arial"/>
          <w:i/>
        </w:rPr>
      </w:pPr>
      <w:r>
        <w:rPr>
          <w:rFonts w:ascii="Calibri" w:hAnsi="Calibri" w:cs="Arial"/>
        </w:rPr>
        <w:t>5.7</w:t>
      </w:r>
      <w:r>
        <w:rPr>
          <w:rFonts w:ascii="Calibri" w:hAnsi="Calibri" w:cs="Arial"/>
        </w:rPr>
        <w:tab/>
        <w:t xml:space="preserve">In order to maximise the opportunities for collaborative investing, the policy groups set out in 5.5 match those used by the Lothian and Fife Pension Funds.  </w:t>
      </w:r>
    </w:p>
    <w:p w14:paraId="36AA26E2" w14:textId="77777777" w:rsidR="00BC1209" w:rsidRDefault="00BC1209" w:rsidP="00BC1209">
      <w:pPr>
        <w:pStyle w:val="ListParagraph"/>
        <w:spacing w:before="0" w:after="0" w:line="240" w:lineRule="auto"/>
        <w:ind w:left="567"/>
        <w:jc w:val="both"/>
        <w:rPr>
          <w:rFonts w:ascii="Calibri" w:hAnsi="Calibri" w:cs="Arial"/>
        </w:rPr>
      </w:pPr>
    </w:p>
    <w:p w14:paraId="7A078A10" w14:textId="77777777" w:rsidR="00EE6A7E" w:rsidRPr="00BC1209" w:rsidRDefault="00EE6A7E" w:rsidP="00BC1209">
      <w:pPr>
        <w:pStyle w:val="ListParagraph"/>
        <w:spacing w:before="0" w:after="0" w:line="240" w:lineRule="auto"/>
        <w:ind w:left="567"/>
        <w:jc w:val="both"/>
        <w:rPr>
          <w:rFonts w:ascii="Calibri" w:hAnsi="Calibri" w:cs="Arial"/>
        </w:rPr>
      </w:pPr>
    </w:p>
    <w:p w14:paraId="38A27E86" w14:textId="0787CE15" w:rsidR="00C91834" w:rsidRPr="00FE6695" w:rsidRDefault="00C91834" w:rsidP="00C91834">
      <w:pPr>
        <w:pStyle w:val="Heading1"/>
        <w:ind w:left="567" w:hanging="567"/>
      </w:pPr>
      <w:r>
        <w:t>6. FUND strateg</w:t>
      </w:r>
      <w:r w:rsidR="00274CE4">
        <w:t>Y and IMplementation</w:t>
      </w:r>
    </w:p>
    <w:p w14:paraId="4CDCAD07" w14:textId="77777777" w:rsidR="00C91834" w:rsidRPr="00A37114" w:rsidRDefault="00C91834" w:rsidP="00A37114">
      <w:pPr>
        <w:spacing w:before="0" w:after="0"/>
        <w:rPr>
          <w:rFonts w:ascii="Calibri" w:hAnsi="Calibri" w:cs="Arial"/>
        </w:rPr>
      </w:pPr>
    </w:p>
    <w:p w14:paraId="48E6B0EC" w14:textId="3985B6CF" w:rsidR="00D1522D" w:rsidRPr="00A37114" w:rsidRDefault="00A83F3E" w:rsidP="00EB35F1">
      <w:pPr>
        <w:pStyle w:val="ListParagraph"/>
        <w:numPr>
          <w:ilvl w:val="1"/>
          <w:numId w:val="9"/>
        </w:numPr>
        <w:spacing w:before="0" w:after="0" w:line="240" w:lineRule="auto"/>
        <w:ind w:left="567" w:hanging="567"/>
        <w:jc w:val="both"/>
        <w:rPr>
          <w:rFonts w:ascii="Calibri" w:hAnsi="Calibri" w:cs="Arial"/>
        </w:rPr>
      </w:pPr>
      <w:r w:rsidRPr="00A37114">
        <w:rPr>
          <w:rFonts w:ascii="Calibri" w:hAnsi="Calibri" w:cs="Arial"/>
        </w:rPr>
        <w:t>T</w:t>
      </w:r>
      <w:r w:rsidR="00BE0408" w:rsidRPr="00A37114">
        <w:rPr>
          <w:rFonts w:ascii="Calibri" w:hAnsi="Calibri" w:cs="Arial"/>
        </w:rPr>
        <w:t>he</w:t>
      </w:r>
      <w:r w:rsidR="005E0532" w:rsidRPr="00A37114">
        <w:rPr>
          <w:rFonts w:ascii="Calibri" w:hAnsi="Calibri" w:cs="Arial"/>
        </w:rPr>
        <w:t xml:space="preserve"> Committee</w:t>
      </w:r>
      <w:r w:rsidRPr="00A37114">
        <w:rPr>
          <w:rFonts w:ascii="Calibri" w:hAnsi="Calibri" w:cs="Arial"/>
        </w:rPr>
        <w:t>’s agreed</w:t>
      </w:r>
      <w:r w:rsidR="00BE0408" w:rsidRPr="00A37114">
        <w:rPr>
          <w:rFonts w:ascii="Calibri" w:hAnsi="Calibri" w:cs="Arial"/>
        </w:rPr>
        <w:t xml:space="preserve"> investment </w:t>
      </w:r>
      <w:r w:rsidR="00372F3D" w:rsidRPr="00A37114">
        <w:rPr>
          <w:rFonts w:ascii="Calibri" w:hAnsi="Calibri" w:cs="Arial"/>
        </w:rPr>
        <w:t>strateg</w:t>
      </w:r>
      <w:r w:rsidR="00274CE4">
        <w:rPr>
          <w:rFonts w:ascii="Calibri" w:hAnsi="Calibri" w:cs="Arial"/>
        </w:rPr>
        <w:t>y</w:t>
      </w:r>
      <w:r w:rsidRPr="00A37114">
        <w:rPr>
          <w:rFonts w:ascii="Calibri" w:hAnsi="Calibri" w:cs="Arial"/>
        </w:rPr>
        <w:t xml:space="preserve"> (</w:t>
      </w:r>
      <w:r w:rsidR="00274CE4">
        <w:rPr>
          <w:rFonts w:ascii="Calibri" w:hAnsi="Calibri" w:cs="Arial"/>
        </w:rPr>
        <w:t>see</w:t>
      </w:r>
      <w:r w:rsidRPr="00A37114">
        <w:rPr>
          <w:rFonts w:ascii="Calibri" w:hAnsi="Calibri" w:cs="Arial"/>
        </w:rPr>
        <w:t xml:space="preserve"> Appendix A)</w:t>
      </w:r>
      <w:r w:rsidR="00372F3D" w:rsidRPr="00A37114">
        <w:rPr>
          <w:rFonts w:ascii="Calibri" w:hAnsi="Calibri" w:cs="Arial"/>
        </w:rPr>
        <w:t xml:space="preserve"> </w:t>
      </w:r>
      <w:r w:rsidR="00274CE4">
        <w:rPr>
          <w:rFonts w:ascii="Calibri" w:hAnsi="Calibri" w:cs="Arial"/>
        </w:rPr>
        <w:t>is</w:t>
      </w:r>
      <w:r w:rsidR="005E0532" w:rsidRPr="00A37114">
        <w:rPr>
          <w:rFonts w:ascii="Calibri" w:hAnsi="Calibri" w:cs="Arial"/>
        </w:rPr>
        <w:t xml:space="preserve"> </w:t>
      </w:r>
      <w:r w:rsidR="00372F3D" w:rsidRPr="00A37114">
        <w:rPr>
          <w:rFonts w:ascii="Calibri" w:hAnsi="Calibri" w:cs="Arial"/>
        </w:rPr>
        <w:t xml:space="preserve">expressed in terms of </w:t>
      </w:r>
      <w:r w:rsidRPr="00A37114">
        <w:rPr>
          <w:rFonts w:ascii="Calibri" w:hAnsi="Calibri" w:cs="Arial"/>
        </w:rPr>
        <w:t>allo</w:t>
      </w:r>
      <w:r w:rsidR="00F75089">
        <w:rPr>
          <w:rFonts w:ascii="Calibri" w:hAnsi="Calibri" w:cs="Arial"/>
        </w:rPr>
        <w:t>cations to various policy groups (or asset classes)</w:t>
      </w:r>
      <w:r w:rsidRPr="00A37114">
        <w:rPr>
          <w:rFonts w:ascii="Calibri" w:hAnsi="Calibri" w:cs="Arial"/>
        </w:rPr>
        <w:t xml:space="preserve">.  </w:t>
      </w:r>
      <w:r w:rsidR="005E0532" w:rsidRPr="00A37114">
        <w:rPr>
          <w:rFonts w:ascii="Calibri" w:hAnsi="Calibri" w:cs="Arial"/>
        </w:rPr>
        <w:t xml:space="preserve">These reference portfolios are </w:t>
      </w:r>
      <w:r w:rsidRPr="00A37114">
        <w:rPr>
          <w:rFonts w:ascii="Calibri" w:hAnsi="Calibri" w:cs="Arial"/>
        </w:rPr>
        <w:t xml:space="preserve">expected to generate the required return with a </w:t>
      </w:r>
      <w:r w:rsidR="00645F36">
        <w:rPr>
          <w:rFonts w:ascii="Calibri" w:hAnsi="Calibri" w:cs="Arial"/>
        </w:rPr>
        <w:t>reasonable</w:t>
      </w:r>
      <w:r w:rsidRPr="00A37114">
        <w:rPr>
          <w:rFonts w:ascii="Calibri" w:hAnsi="Calibri" w:cs="Arial"/>
        </w:rPr>
        <w:t xml:space="preserve"> probability of success</w:t>
      </w:r>
      <w:r w:rsidR="008F1DD6">
        <w:rPr>
          <w:rFonts w:ascii="Calibri" w:hAnsi="Calibri" w:cs="Arial"/>
        </w:rPr>
        <w:t xml:space="preserve">. </w:t>
      </w:r>
      <w:r w:rsidRPr="00A37114">
        <w:rPr>
          <w:rFonts w:ascii="Calibri" w:hAnsi="Calibri" w:cs="Arial"/>
        </w:rPr>
        <w:t xml:space="preserve"> </w:t>
      </w:r>
      <w:r w:rsidR="00372F3D" w:rsidRPr="00A37114">
        <w:rPr>
          <w:rFonts w:ascii="Calibri" w:hAnsi="Calibri" w:cs="Arial"/>
        </w:rPr>
        <w:t>The rate of return being targeted and the level of risk to be tolerated are central</w:t>
      </w:r>
      <w:r w:rsidR="005E0532" w:rsidRPr="00A37114">
        <w:rPr>
          <w:rFonts w:ascii="Calibri" w:hAnsi="Calibri" w:cs="Arial"/>
        </w:rPr>
        <w:t xml:space="preserve"> to the determination of the </w:t>
      </w:r>
      <w:r w:rsidRPr="00A37114">
        <w:rPr>
          <w:rFonts w:ascii="Calibri" w:hAnsi="Calibri" w:cs="Arial"/>
        </w:rPr>
        <w:t xml:space="preserve">investment strategy (or </w:t>
      </w:r>
      <w:r w:rsidR="005E0532" w:rsidRPr="00A37114">
        <w:rPr>
          <w:rFonts w:ascii="Calibri" w:hAnsi="Calibri" w:cs="Arial"/>
        </w:rPr>
        <w:t>asset mix</w:t>
      </w:r>
      <w:r w:rsidRPr="00A37114">
        <w:rPr>
          <w:rFonts w:ascii="Calibri" w:hAnsi="Calibri" w:cs="Arial"/>
        </w:rPr>
        <w:t>)</w:t>
      </w:r>
      <w:r w:rsidR="005E0532" w:rsidRPr="00A37114">
        <w:rPr>
          <w:rFonts w:ascii="Calibri" w:hAnsi="Calibri" w:cs="Arial"/>
        </w:rPr>
        <w:t xml:space="preserve"> of </w:t>
      </w:r>
      <w:r w:rsidR="00274CE4">
        <w:rPr>
          <w:rFonts w:ascii="Calibri" w:hAnsi="Calibri" w:cs="Arial"/>
        </w:rPr>
        <w:t>the</w:t>
      </w:r>
      <w:r w:rsidR="005E0532" w:rsidRPr="00A37114">
        <w:rPr>
          <w:rFonts w:ascii="Calibri" w:hAnsi="Calibri" w:cs="Arial"/>
        </w:rPr>
        <w:t xml:space="preserve"> Fund.</w:t>
      </w:r>
    </w:p>
    <w:p w14:paraId="07F272E6" w14:textId="77777777" w:rsidR="00E674AE" w:rsidRPr="00984A42" w:rsidRDefault="00E674AE" w:rsidP="00984A42">
      <w:pPr>
        <w:pStyle w:val="ListParagraph"/>
        <w:rPr>
          <w:rFonts w:ascii="Calibri" w:hAnsi="Calibri" w:cs="Arial"/>
        </w:rPr>
      </w:pPr>
    </w:p>
    <w:p w14:paraId="574833A7" w14:textId="346018D3" w:rsidR="00E674AE" w:rsidRPr="00E674AE" w:rsidRDefault="00E674AE" w:rsidP="00E674AE">
      <w:pPr>
        <w:pStyle w:val="ListParagraph"/>
        <w:numPr>
          <w:ilvl w:val="1"/>
          <w:numId w:val="9"/>
        </w:numPr>
        <w:spacing w:before="0" w:after="0" w:line="240" w:lineRule="auto"/>
        <w:ind w:left="567" w:hanging="567"/>
        <w:jc w:val="both"/>
        <w:rPr>
          <w:rFonts w:ascii="Calibri" w:hAnsi="Calibri" w:cs="Arial"/>
        </w:rPr>
      </w:pPr>
      <w:r w:rsidRPr="00E674AE">
        <w:rPr>
          <w:rFonts w:ascii="Calibri" w:hAnsi="Calibri" w:cs="Calibri"/>
        </w:rPr>
        <w:t>The Committee monitors performance of the Fund relative to benchmarks, including an asset benchmark. Asset benchmarks are not a perfect match for the objectives of the Fund, nor the strategy it employs. Correct interpretation of the reported data requires a good understanding that the strategy positions the Fund in lower risk Equities than the benchmark, so returns are likely to lag a strongly rising market but be better than benchmark when it experiences significant weakness. Real Assets and other private market assets lack good comparators, especially over the short and medium-term timeframes, and the current benchmark often deviates quite significantly from the slow re-valuation of private market assets. Other policy groups are less difficult to interpret but represent a smaller portion of the total fund.</w:t>
      </w:r>
    </w:p>
    <w:p w14:paraId="51D1FF5E" w14:textId="77777777" w:rsidR="00C35AAB" w:rsidRDefault="00C35AAB" w:rsidP="00C35AAB">
      <w:pPr>
        <w:pStyle w:val="ListParagraph"/>
        <w:spacing w:before="0" w:after="0" w:line="240" w:lineRule="auto"/>
        <w:ind w:left="567"/>
        <w:jc w:val="both"/>
        <w:rPr>
          <w:rFonts w:ascii="Calibri" w:hAnsi="Calibri" w:cs="Arial"/>
        </w:rPr>
      </w:pPr>
      <w:bookmarkStart w:id="2" w:name="_Hlk529468983"/>
    </w:p>
    <w:bookmarkEnd w:id="2"/>
    <w:p w14:paraId="003E9816" w14:textId="1F27376C" w:rsidR="00ED0E01" w:rsidRPr="00274CE4" w:rsidRDefault="00274CE4" w:rsidP="00274CE4">
      <w:pPr>
        <w:spacing w:before="0" w:after="0" w:line="240" w:lineRule="auto"/>
        <w:ind w:left="567" w:hanging="567"/>
        <w:jc w:val="both"/>
        <w:rPr>
          <w:rFonts w:ascii="Calibri" w:hAnsi="Calibri" w:cs="Arial"/>
        </w:rPr>
      </w:pPr>
      <w:r>
        <w:rPr>
          <w:rFonts w:ascii="Calibri" w:hAnsi="Calibri" w:cs="Arial"/>
        </w:rPr>
        <w:t>6.3</w:t>
      </w:r>
      <w:r>
        <w:rPr>
          <w:rFonts w:ascii="Calibri" w:hAnsi="Calibri" w:cs="Arial"/>
        </w:rPr>
        <w:tab/>
      </w:r>
      <w:r w:rsidR="005F2F59" w:rsidRPr="00274CE4">
        <w:rPr>
          <w:rFonts w:ascii="Calibri" w:hAnsi="Calibri" w:cs="Arial"/>
        </w:rPr>
        <w:t xml:space="preserve">The Committee </w:t>
      </w:r>
      <w:r>
        <w:rPr>
          <w:rFonts w:ascii="Calibri" w:hAnsi="Calibri" w:cs="Arial"/>
        </w:rPr>
        <w:t xml:space="preserve">has </w:t>
      </w:r>
      <w:r w:rsidR="005F2F59" w:rsidRPr="00274CE4">
        <w:rPr>
          <w:rFonts w:ascii="Calibri" w:hAnsi="Calibri" w:cs="Arial"/>
        </w:rPr>
        <w:t>delegate</w:t>
      </w:r>
      <w:r>
        <w:rPr>
          <w:rFonts w:ascii="Calibri" w:hAnsi="Calibri" w:cs="Arial"/>
        </w:rPr>
        <w:t>d</w:t>
      </w:r>
      <w:r w:rsidR="005F2F59" w:rsidRPr="00274CE4">
        <w:rPr>
          <w:rFonts w:ascii="Calibri" w:hAnsi="Calibri" w:cs="Arial"/>
        </w:rPr>
        <w:t xml:space="preserve"> </w:t>
      </w:r>
      <w:r>
        <w:rPr>
          <w:rFonts w:ascii="Calibri" w:hAnsi="Calibri" w:cs="Arial"/>
        </w:rPr>
        <w:t xml:space="preserve">the </w:t>
      </w:r>
      <w:r w:rsidR="005F2F59" w:rsidRPr="00274CE4">
        <w:rPr>
          <w:rFonts w:ascii="Calibri" w:hAnsi="Calibri" w:cs="Arial"/>
        </w:rPr>
        <w:t xml:space="preserve">implementation of strategy to the </w:t>
      </w:r>
      <w:r>
        <w:rPr>
          <w:rFonts w:ascii="Calibri" w:hAnsi="Calibri" w:cs="Arial"/>
        </w:rPr>
        <w:t>Chief Finance Officer</w:t>
      </w:r>
      <w:r w:rsidR="00CF2218" w:rsidRPr="00274CE4">
        <w:rPr>
          <w:rFonts w:ascii="Calibri" w:hAnsi="Calibri" w:cs="Arial"/>
        </w:rPr>
        <w:t>,</w:t>
      </w:r>
      <w:r w:rsidR="005F2F59" w:rsidRPr="00274CE4">
        <w:rPr>
          <w:rFonts w:ascii="Calibri" w:hAnsi="Calibri" w:cs="Arial"/>
        </w:rPr>
        <w:t xml:space="preserve"> taking advice </w:t>
      </w:r>
      <w:r>
        <w:rPr>
          <w:rFonts w:ascii="Calibri" w:hAnsi="Calibri" w:cs="Arial"/>
        </w:rPr>
        <w:t xml:space="preserve">from </w:t>
      </w:r>
      <w:r w:rsidR="005F2F59" w:rsidRPr="00274CE4">
        <w:rPr>
          <w:rFonts w:ascii="Calibri" w:hAnsi="Calibri" w:cs="Arial"/>
        </w:rPr>
        <w:t>the</w:t>
      </w:r>
      <w:r w:rsidR="00E4504A">
        <w:rPr>
          <w:rFonts w:ascii="Calibri" w:hAnsi="Calibri" w:cs="Arial"/>
        </w:rPr>
        <w:t xml:space="preserve"> </w:t>
      </w:r>
      <w:r w:rsidR="00120E38">
        <w:rPr>
          <w:rFonts w:ascii="Calibri" w:hAnsi="Calibri" w:cs="Arial"/>
        </w:rPr>
        <w:t>JIF</w:t>
      </w:r>
      <w:r w:rsidR="005F2F59" w:rsidRPr="00274CE4">
        <w:rPr>
          <w:rFonts w:ascii="Calibri" w:hAnsi="Calibri" w:cs="Arial"/>
        </w:rPr>
        <w:t xml:space="preserve">.  The </w:t>
      </w:r>
      <w:r>
        <w:rPr>
          <w:rFonts w:ascii="Calibri" w:hAnsi="Calibri" w:cs="Arial"/>
        </w:rPr>
        <w:t xml:space="preserve">Chief Finance Officer </w:t>
      </w:r>
      <w:r w:rsidR="005F2F59" w:rsidRPr="00274CE4">
        <w:rPr>
          <w:rFonts w:ascii="Calibri" w:hAnsi="Calibri" w:cs="Arial"/>
        </w:rPr>
        <w:t>operates within the par</w:t>
      </w:r>
      <w:r w:rsidR="00ED0E01" w:rsidRPr="00274CE4">
        <w:rPr>
          <w:rFonts w:ascii="Calibri" w:hAnsi="Calibri" w:cs="Arial"/>
        </w:rPr>
        <w:t>ameters agreed by the Committee, investing the Fund’</w:t>
      </w:r>
      <w:r w:rsidR="00EE6A7E">
        <w:rPr>
          <w:rFonts w:ascii="Calibri" w:hAnsi="Calibri" w:cs="Arial"/>
        </w:rPr>
        <w:t>s</w:t>
      </w:r>
      <w:r w:rsidR="00ED0E01" w:rsidRPr="00274CE4">
        <w:rPr>
          <w:rFonts w:ascii="Calibri" w:hAnsi="Calibri" w:cs="Arial"/>
        </w:rPr>
        <w:t xml:space="preserve"> assets in the policy groups within the permitted ranges.    </w:t>
      </w:r>
    </w:p>
    <w:p w14:paraId="7C5D3CC9" w14:textId="77777777" w:rsidR="00ED0E01" w:rsidRDefault="00ED0E01" w:rsidP="00ED0E01">
      <w:pPr>
        <w:pStyle w:val="ListParagraph"/>
        <w:spacing w:before="0" w:after="0" w:line="240" w:lineRule="auto"/>
        <w:ind w:left="567"/>
        <w:jc w:val="both"/>
        <w:rPr>
          <w:rFonts w:ascii="Calibri" w:hAnsi="Calibri" w:cs="Arial"/>
        </w:rPr>
      </w:pPr>
    </w:p>
    <w:p w14:paraId="1FF1DF16" w14:textId="5C4DA6BC" w:rsidR="00ED0E01" w:rsidRPr="00274CE4" w:rsidRDefault="00274CE4" w:rsidP="00274CE4">
      <w:pPr>
        <w:spacing w:before="0" w:after="0" w:line="240" w:lineRule="auto"/>
        <w:ind w:left="567" w:hanging="567"/>
        <w:jc w:val="both"/>
        <w:rPr>
          <w:rFonts w:ascii="Calibri" w:hAnsi="Calibri" w:cs="Arial"/>
        </w:rPr>
      </w:pPr>
      <w:r>
        <w:rPr>
          <w:rFonts w:ascii="Calibri" w:hAnsi="Calibri" w:cs="Arial"/>
        </w:rPr>
        <w:t>6.4</w:t>
      </w:r>
      <w:r>
        <w:rPr>
          <w:rFonts w:ascii="Calibri" w:hAnsi="Calibri" w:cs="Arial"/>
        </w:rPr>
        <w:tab/>
      </w:r>
      <w:r w:rsidR="005F2F59" w:rsidRPr="00274CE4">
        <w:rPr>
          <w:rFonts w:ascii="Calibri" w:hAnsi="Calibri" w:cs="Arial"/>
        </w:rPr>
        <w:t>The</w:t>
      </w:r>
      <w:r w:rsidR="00ED0E01" w:rsidRPr="00274CE4">
        <w:rPr>
          <w:rFonts w:ascii="Calibri" w:hAnsi="Calibri" w:cs="Arial"/>
        </w:rPr>
        <w:t xml:space="preserve"> </w:t>
      </w:r>
      <w:r w:rsidRPr="00274CE4">
        <w:rPr>
          <w:rFonts w:ascii="Calibri" w:hAnsi="Calibri" w:cs="Arial"/>
        </w:rPr>
        <w:t>Chief Finance Officer</w:t>
      </w:r>
      <w:r w:rsidR="00ED0E01" w:rsidRPr="00274CE4">
        <w:rPr>
          <w:rFonts w:ascii="Calibri" w:hAnsi="Calibri" w:cs="Arial"/>
        </w:rPr>
        <w:t>, advised by the JI</w:t>
      </w:r>
      <w:r w:rsidR="00120E38">
        <w:rPr>
          <w:rFonts w:ascii="Calibri" w:hAnsi="Calibri" w:cs="Arial"/>
        </w:rPr>
        <w:t>F</w:t>
      </w:r>
      <w:r w:rsidR="00ED0E01" w:rsidRPr="00274CE4">
        <w:rPr>
          <w:rFonts w:ascii="Calibri" w:hAnsi="Calibri" w:cs="Arial"/>
        </w:rPr>
        <w:t xml:space="preserve">, identifies the combination of investment managers and mandates within the policy groups to deliver the objectives of the Fund.  </w:t>
      </w:r>
      <w:r w:rsidR="00437914" w:rsidRPr="00274CE4">
        <w:rPr>
          <w:rFonts w:ascii="Calibri" w:hAnsi="Calibri" w:cs="Arial"/>
        </w:rPr>
        <w:t xml:space="preserve">The investment managers and mandates are listed in Appendix A.  </w:t>
      </w:r>
      <w:r w:rsidR="00ED0E01" w:rsidRPr="00274CE4">
        <w:rPr>
          <w:rFonts w:ascii="Calibri" w:hAnsi="Calibri" w:cs="Arial"/>
        </w:rPr>
        <w:t xml:space="preserve">The Fund employs external managers, </w:t>
      </w:r>
      <w:r w:rsidR="00EE6A7E">
        <w:rPr>
          <w:rFonts w:ascii="Calibri" w:hAnsi="Calibri" w:cs="Arial"/>
        </w:rPr>
        <w:t>but also works collaboratively with the Lothian Fund in house investment team</w:t>
      </w:r>
      <w:r w:rsidR="00D52799">
        <w:rPr>
          <w:rFonts w:ascii="Calibri" w:hAnsi="Calibri" w:cs="Arial"/>
        </w:rPr>
        <w:t>, which manages some assets through its FCA authorised ve</w:t>
      </w:r>
      <w:r w:rsidR="006D03B2">
        <w:rPr>
          <w:rFonts w:ascii="Calibri" w:hAnsi="Calibri" w:cs="Arial"/>
        </w:rPr>
        <w:t>hicle, LPFI</w:t>
      </w:r>
      <w:r w:rsidR="00120E38">
        <w:rPr>
          <w:rFonts w:ascii="Calibri" w:hAnsi="Calibri" w:cs="Arial"/>
        </w:rPr>
        <w:t xml:space="preserve"> Ltd</w:t>
      </w:r>
      <w:r w:rsidR="006D03B2">
        <w:rPr>
          <w:rFonts w:ascii="Calibri" w:hAnsi="Calibri" w:cs="Arial"/>
        </w:rPr>
        <w:t>,</w:t>
      </w:r>
      <w:r w:rsidR="00EE6A7E">
        <w:rPr>
          <w:rFonts w:ascii="Calibri" w:hAnsi="Calibri" w:cs="Arial"/>
        </w:rPr>
        <w:t xml:space="preserve"> in recognition of the </w:t>
      </w:r>
      <w:r w:rsidR="00ED0E01" w:rsidRPr="00274CE4">
        <w:rPr>
          <w:rFonts w:ascii="Calibri" w:hAnsi="Calibri" w:cs="Arial"/>
        </w:rPr>
        <w:t xml:space="preserve">cost and alignment advantages </w:t>
      </w:r>
      <w:r w:rsidR="00EE6A7E">
        <w:rPr>
          <w:rFonts w:ascii="Calibri" w:hAnsi="Calibri" w:cs="Arial"/>
        </w:rPr>
        <w:t>of doing so.</w:t>
      </w:r>
      <w:r w:rsidR="00ED0E01" w:rsidRPr="00274CE4">
        <w:rPr>
          <w:rFonts w:ascii="Calibri" w:hAnsi="Calibri" w:cs="Arial"/>
        </w:rPr>
        <w:t xml:space="preserve">   </w:t>
      </w:r>
    </w:p>
    <w:p w14:paraId="0D6B431F" w14:textId="19EE1FB2" w:rsidR="00456B16" w:rsidRDefault="00456B16" w:rsidP="00EE6A7E">
      <w:pPr>
        <w:spacing w:before="0" w:after="0" w:line="240" w:lineRule="auto"/>
        <w:ind w:left="567" w:hanging="567"/>
        <w:jc w:val="both"/>
        <w:rPr>
          <w:rFonts w:ascii="Calibri" w:hAnsi="Calibri" w:cs="Arial"/>
        </w:rPr>
      </w:pPr>
    </w:p>
    <w:p w14:paraId="4B71DAFB" w14:textId="4C2653B7" w:rsidR="00456B16" w:rsidRPr="00274CE4" w:rsidRDefault="00456B16" w:rsidP="00EE6A7E">
      <w:pPr>
        <w:spacing w:before="0" w:after="0" w:line="240" w:lineRule="auto"/>
        <w:ind w:left="567" w:hanging="567"/>
        <w:jc w:val="both"/>
        <w:rPr>
          <w:rFonts w:ascii="Calibri" w:hAnsi="Calibri" w:cs="Arial"/>
        </w:rPr>
      </w:pPr>
      <w:r>
        <w:rPr>
          <w:rFonts w:ascii="Calibri" w:hAnsi="Calibri" w:cs="Arial"/>
        </w:rPr>
        <w:t>6.5</w:t>
      </w:r>
      <w:r>
        <w:rPr>
          <w:rFonts w:ascii="Calibri" w:hAnsi="Calibri" w:cs="Arial"/>
        </w:rPr>
        <w:tab/>
      </w:r>
      <w:r w:rsidRPr="00077F00">
        <w:t>To reduce the risk that the Fund does not deliver its objective, controls are set for each manager.  These are detailed in formal Investment Management Agreements. Where the Fund’s assets are managed by our partner fund (</w:t>
      </w:r>
      <w:proofErr w:type="spellStart"/>
      <w:r w:rsidRPr="00077F00">
        <w:t>i.e</w:t>
      </w:r>
      <w:proofErr w:type="spellEnd"/>
      <w:r w:rsidRPr="00077F00">
        <w:t xml:space="preserve"> through an investment management agreement with LPFI </w:t>
      </w:r>
      <w:r w:rsidR="00E579FD">
        <w:t>Ltd</w:t>
      </w:r>
      <w:r w:rsidRPr="00077F00">
        <w:t>), then formal investment objectives and constraints</w:t>
      </w:r>
      <w:r w:rsidR="0024600E">
        <w:t xml:space="preserve"> are</w:t>
      </w:r>
      <w:r w:rsidRPr="00077F00">
        <w:rPr>
          <w:color w:val="FFFFFF" w:themeColor="background1"/>
        </w:rPr>
        <w:t xml:space="preserve"> </w:t>
      </w:r>
      <w:r w:rsidRPr="00077F00">
        <w:t xml:space="preserve">also set for </w:t>
      </w:r>
      <w:r w:rsidRPr="00077F00">
        <w:lastRenderedPageBreak/>
        <w:t>those mandates.  In all cases, investment managers are responsible for the selection of individual holdings.</w:t>
      </w:r>
      <w:r>
        <w:rPr>
          <w:i/>
          <w:iCs/>
        </w:rPr>
        <w:t>  </w:t>
      </w:r>
    </w:p>
    <w:p w14:paraId="0E716FC4" w14:textId="77777777" w:rsidR="00ED5F3D" w:rsidRPr="00ED5F3D" w:rsidRDefault="00ED5F3D" w:rsidP="00274CE4">
      <w:pPr>
        <w:spacing w:before="0" w:after="0" w:line="240" w:lineRule="auto"/>
        <w:jc w:val="both"/>
        <w:rPr>
          <w:rFonts w:ascii="Calibri" w:hAnsi="Calibri" w:cs="Arial"/>
        </w:rPr>
      </w:pPr>
    </w:p>
    <w:p w14:paraId="30D97497" w14:textId="13EC745D" w:rsidR="007D0011" w:rsidRPr="00274CE4" w:rsidRDefault="00EE6A7E" w:rsidP="00EE6A7E">
      <w:pPr>
        <w:spacing w:before="0" w:after="0" w:line="240" w:lineRule="auto"/>
        <w:ind w:left="567" w:hanging="567"/>
        <w:jc w:val="both"/>
        <w:rPr>
          <w:rFonts w:ascii="Calibri" w:hAnsi="Calibri" w:cs="Arial"/>
        </w:rPr>
      </w:pPr>
      <w:r>
        <w:rPr>
          <w:rFonts w:ascii="Calibri" w:hAnsi="Calibri" w:cs="Arial"/>
        </w:rPr>
        <w:t>6.6</w:t>
      </w:r>
      <w:r>
        <w:rPr>
          <w:rFonts w:ascii="Calibri" w:hAnsi="Calibri" w:cs="Arial"/>
        </w:rPr>
        <w:tab/>
      </w:r>
      <w:r w:rsidR="00236EC8">
        <w:rPr>
          <w:rFonts w:ascii="Calibri" w:hAnsi="Calibri" w:cs="Arial"/>
        </w:rPr>
        <w:t xml:space="preserve">Whilst overall strategy is measured against a specific benchmark, the performance of individual </w:t>
      </w:r>
      <w:r w:rsidR="00437914" w:rsidRPr="00274CE4">
        <w:rPr>
          <w:rFonts w:ascii="Calibri" w:hAnsi="Calibri" w:cs="Arial"/>
        </w:rPr>
        <w:t xml:space="preserve">managers and </w:t>
      </w:r>
      <w:r w:rsidR="00236EC8">
        <w:rPr>
          <w:rFonts w:ascii="Calibri" w:hAnsi="Calibri" w:cs="Arial"/>
        </w:rPr>
        <w:t xml:space="preserve">their </w:t>
      </w:r>
      <w:r w:rsidR="00437914" w:rsidRPr="00274CE4">
        <w:rPr>
          <w:rFonts w:ascii="Calibri" w:hAnsi="Calibri" w:cs="Arial"/>
        </w:rPr>
        <w:t>mandates are measured against mandate-specific benchmarks of r</w:t>
      </w:r>
      <w:r w:rsidR="00E875A7" w:rsidRPr="00274CE4">
        <w:rPr>
          <w:rFonts w:ascii="Calibri" w:hAnsi="Calibri" w:cs="Arial"/>
        </w:rPr>
        <w:t>isk and return</w:t>
      </w:r>
      <w:r w:rsidR="00437914" w:rsidRPr="00274CE4">
        <w:rPr>
          <w:rFonts w:ascii="Calibri" w:hAnsi="Calibri" w:cs="Arial"/>
        </w:rPr>
        <w:t xml:space="preserve">. </w:t>
      </w:r>
      <w:r w:rsidR="00E875A7" w:rsidRPr="00274CE4">
        <w:rPr>
          <w:rFonts w:ascii="Calibri" w:hAnsi="Calibri" w:cs="Arial"/>
        </w:rPr>
        <w:t xml:space="preserve">Performance </w:t>
      </w:r>
      <w:r w:rsidR="00236EC8">
        <w:rPr>
          <w:rFonts w:ascii="Calibri" w:hAnsi="Calibri" w:cs="Arial"/>
        </w:rPr>
        <w:t xml:space="preserve">is undertaken </w:t>
      </w:r>
      <w:r w:rsidR="00236EC8" w:rsidRPr="00274CE4">
        <w:rPr>
          <w:rFonts w:ascii="Calibri" w:hAnsi="Calibri" w:cs="Arial"/>
        </w:rPr>
        <w:t xml:space="preserve">by an independent performance measurement specialist </w:t>
      </w:r>
      <w:r w:rsidR="00E875A7" w:rsidRPr="00274CE4">
        <w:rPr>
          <w:rFonts w:ascii="Calibri" w:hAnsi="Calibri" w:cs="Arial"/>
        </w:rPr>
        <w:t xml:space="preserve">and </w:t>
      </w:r>
      <w:r w:rsidR="00236EC8">
        <w:rPr>
          <w:rFonts w:ascii="Calibri" w:hAnsi="Calibri" w:cs="Arial"/>
        </w:rPr>
        <w:t xml:space="preserve">the results </w:t>
      </w:r>
      <w:r w:rsidR="007D0011" w:rsidRPr="00274CE4">
        <w:rPr>
          <w:rFonts w:ascii="Calibri" w:hAnsi="Calibri" w:cs="Arial"/>
        </w:rPr>
        <w:t>monitored by the JI</w:t>
      </w:r>
      <w:r w:rsidR="00E579FD">
        <w:rPr>
          <w:rFonts w:ascii="Calibri" w:hAnsi="Calibri" w:cs="Arial"/>
        </w:rPr>
        <w:t>F</w:t>
      </w:r>
      <w:r w:rsidR="007D0011" w:rsidRPr="00274CE4">
        <w:rPr>
          <w:rFonts w:ascii="Calibri" w:hAnsi="Calibri" w:cs="Arial"/>
        </w:rPr>
        <w:t xml:space="preserve"> on a </w:t>
      </w:r>
      <w:r w:rsidR="00437914" w:rsidRPr="00274CE4">
        <w:rPr>
          <w:rFonts w:ascii="Calibri" w:hAnsi="Calibri" w:cs="Arial"/>
        </w:rPr>
        <w:t xml:space="preserve">quarterly </w:t>
      </w:r>
      <w:r w:rsidR="007D0011" w:rsidRPr="00274CE4">
        <w:rPr>
          <w:rFonts w:ascii="Calibri" w:hAnsi="Calibri" w:cs="Arial"/>
        </w:rPr>
        <w:t>basis.</w:t>
      </w:r>
    </w:p>
    <w:p w14:paraId="215A9C26" w14:textId="77777777" w:rsidR="00ED5F3D" w:rsidRPr="00ED5F3D" w:rsidRDefault="00ED5F3D" w:rsidP="00ED5F3D">
      <w:pPr>
        <w:spacing w:before="0" w:after="0" w:line="240" w:lineRule="auto"/>
        <w:jc w:val="both"/>
        <w:rPr>
          <w:rFonts w:ascii="Calibri" w:hAnsi="Calibri" w:cs="Arial"/>
        </w:rPr>
      </w:pPr>
    </w:p>
    <w:p w14:paraId="6715DD6D" w14:textId="657D912C" w:rsidR="00960D22" w:rsidRDefault="00EE6A7E" w:rsidP="0024600E">
      <w:pPr>
        <w:spacing w:before="0" w:after="0" w:line="240" w:lineRule="auto"/>
        <w:ind w:left="567" w:hanging="567"/>
        <w:rPr>
          <w:rFonts w:ascii="Calibri" w:hAnsi="Calibri" w:cs="Arial"/>
        </w:rPr>
      </w:pPr>
      <w:r>
        <w:rPr>
          <w:rFonts w:ascii="Calibri" w:hAnsi="Calibri" w:cs="Arial"/>
        </w:rPr>
        <w:t>6.7</w:t>
      </w:r>
      <w:r>
        <w:rPr>
          <w:rFonts w:ascii="Calibri" w:hAnsi="Calibri" w:cs="Arial"/>
        </w:rPr>
        <w:tab/>
      </w:r>
      <w:r w:rsidR="009867D8" w:rsidRPr="00EE6A7E">
        <w:rPr>
          <w:rFonts w:ascii="Calibri" w:hAnsi="Calibri" w:cs="Arial"/>
        </w:rPr>
        <w:t>The Fund collaborate</w:t>
      </w:r>
      <w:r w:rsidRPr="00EE6A7E">
        <w:rPr>
          <w:rFonts w:ascii="Calibri" w:hAnsi="Calibri" w:cs="Arial"/>
        </w:rPr>
        <w:t>s</w:t>
      </w:r>
      <w:r w:rsidR="009867D8" w:rsidRPr="00EE6A7E">
        <w:rPr>
          <w:rFonts w:ascii="Calibri" w:hAnsi="Calibri" w:cs="Arial"/>
        </w:rPr>
        <w:t xml:space="preserve"> </w:t>
      </w:r>
      <w:r w:rsidR="007D0011" w:rsidRPr="00EE6A7E">
        <w:rPr>
          <w:rFonts w:ascii="Calibri" w:hAnsi="Calibri" w:cs="Arial"/>
        </w:rPr>
        <w:t xml:space="preserve">with other investors </w:t>
      </w:r>
      <w:r w:rsidRPr="00EE6A7E">
        <w:rPr>
          <w:rFonts w:ascii="Calibri" w:hAnsi="Calibri" w:cs="Arial"/>
        </w:rPr>
        <w:t xml:space="preserve">(i.e. Lothian and Fife) </w:t>
      </w:r>
      <w:r w:rsidR="007D0011" w:rsidRPr="00EE6A7E">
        <w:rPr>
          <w:rFonts w:ascii="Calibri" w:hAnsi="Calibri" w:cs="Arial"/>
        </w:rPr>
        <w:t xml:space="preserve">to benefit from increased scale and cost sharing arrangements.  </w:t>
      </w:r>
      <w:r w:rsidR="001A3352">
        <w:rPr>
          <w:rFonts w:ascii="Calibri" w:hAnsi="Calibri" w:cs="Arial"/>
        </w:rPr>
        <w:br/>
      </w:r>
    </w:p>
    <w:p w14:paraId="1179D1CE" w14:textId="77777777" w:rsidR="0024600E" w:rsidRDefault="0024600E" w:rsidP="0024600E">
      <w:pPr>
        <w:spacing w:before="0" w:after="0" w:line="240" w:lineRule="auto"/>
        <w:ind w:left="567" w:hanging="567"/>
        <w:rPr>
          <w:rFonts w:ascii="Calibri" w:hAnsi="Calibri" w:cs="Arial"/>
        </w:rPr>
      </w:pPr>
    </w:p>
    <w:p w14:paraId="7D80BE2E" w14:textId="77777777" w:rsidR="007D0011" w:rsidRPr="00FE6695" w:rsidRDefault="007D0011" w:rsidP="007D0011">
      <w:pPr>
        <w:pStyle w:val="Heading1"/>
        <w:ind w:left="567" w:hanging="567"/>
      </w:pPr>
      <w:r>
        <w:t xml:space="preserve">7. </w:t>
      </w:r>
      <w:r w:rsidR="00C91834">
        <w:t>other investment considerations</w:t>
      </w:r>
    </w:p>
    <w:p w14:paraId="4F0CE179" w14:textId="77777777" w:rsidR="007D0011" w:rsidRDefault="007D0011" w:rsidP="007D0011">
      <w:pPr>
        <w:pStyle w:val="ListParagraph"/>
        <w:spacing w:before="0" w:after="0" w:line="240" w:lineRule="auto"/>
        <w:ind w:left="567"/>
        <w:jc w:val="both"/>
        <w:rPr>
          <w:rFonts w:ascii="Calibri" w:hAnsi="Calibri" w:cs="Arial"/>
        </w:rPr>
      </w:pPr>
    </w:p>
    <w:p w14:paraId="3C32B50D" w14:textId="77777777" w:rsidR="007B0BF5" w:rsidRPr="007B0BF5" w:rsidRDefault="007B0BF5" w:rsidP="00EB35F1">
      <w:pPr>
        <w:pStyle w:val="ListParagraph"/>
        <w:numPr>
          <w:ilvl w:val="1"/>
          <w:numId w:val="8"/>
        </w:numPr>
        <w:spacing w:before="0" w:after="0" w:line="240" w:lineRule="auto"/>
        <w:ind w:left="567" w:hanging="567"/>
        <w:jc w:val="both"/>
        <w:rPr>
          <w:rFonts w:ascii="Calibri" w:hAnsi="Calibri" w:cs="Arial"/>
        </w:rPr>
      </w:pPr>
      <w:r>
        <w:rPr>
          <w:rFonts w:ascii="Calibri" w:hAnsi="Calibri" w:cs="Arial"/>
          <w:b/>
        </w:rPr>
        <w:t>Realisation of investments</w:t>
      </w:r>
    </w:p>
    <w:p w14:paraId="00588240" w14:textId="7F90AA3A" w:rsidR="00757115" w:rsidRDefault="00D56A07" w:rsidP="007B0BF5">
      <w:pPr>
        <w:pStyle w:val="ListParagraph"/>
        <w:spacing w:before="0" w:after="0" w:line="240" w:lineRule="auto"/>
        <w:ind w:left="567"/>
        <w:jc w:val="both"/>
        <w:rPr>
          <w:rFonts w:ascii="Calibri" w:hAnsi="Calibri" w:cs="Arial"/>
        </w:rPr>
      </w:pPr>
      <w:r>
        <w:rPr>
          <w:rFonts w:ascii="Calibri" w:hAnsi="Calibri" w:cs="Arial"/>
        </w:rPr>
        <w:t>Most of the Fund’</w:t>
      </w:r>
      <w:r w:rsidR="00EE6A7E">
        <w:rPr>
          <w:rFonts w:ascii="Calibri" w:hAnsi="Calibri" w:cs="Arial"/>
        </w:rPr>
        <w:t>s</w:t>
      </w:r>
      <w:r>
        <w:rPr>
          <w:rFonts w:ascii="Calibri" w:hAnsi="Calibri" w:cs="Arial"/>
        </w:rPr>
        <w:t xml:space="preserve"> </w:t>
      </w:r>
      <w:r w:rsidR="00757115">
        <w:rPr>
          <w:rFonts w:ascii="Calibri" w:hAnsi="Calibri" w:cs="Arial"/>
        </w:rPr>
        <w:t>investments are in liquid markets and can be expected to be sold relatively quickly if required.  A proportion of the Fund’</w:t>
      </w:r>
      <w:r w:rsidR="00EE6A7E">
        <w:rPr>
          <w:rFonts w:ascii="Calibri" w:hAnsi="Calibri" w:cs="Arial"/>
        </w:rPr>
        <w:t>s</w:t>
      </w:r>
      <w:r w:rsidR="00757115">
        <w:rPr>
          <w:rFonts w:ascii="Calibri" w:hAnsi="Calibri" w:cs="Arial"/>
        </w:rPr>
        <w:t xml:space="preserve"> investments (such as property, private equity, private </w:t>
      </w:r>
      <w:proofErr w:type="gramStart"/>
      <w:r w:rsidR="00757115">
        <w:rPr>
          <w:rFonts w:ascii="Calibri" w:hAnsi="Calibri" w:cs="Arial"/>
        </w:rPr>
        <w:t>debt</w:t>
      </w:r>
      <w:proofErr w:type="gramEnd"/>
      <w:r w:rsidR="00757115">
        <w:rPr>
          <w:rFonts w:ascii="Calibri" w:hAnsi="Calibri" w:cs="Arial"/>
        </w:rPr>
        <w:t xml:space="preserve"> and infrastructure) have less or limited liquidity and would therefore take longer to be sold.  The overall liquidity of </w:t>
      </w:r>
      <w:r w:rsidR="00EE6A7E">
        <w:rPr>
          <w:rFonts w:ascii="Calibri" w:hAnsi="Calibri" w:cs="Arial"/>
        </w:rPr>
        <w:t>the</w:t>
      </w:r>
      <w:r w:rsidR="00757115">
        <w:rPr>
          <w:rFonts w:ascii="Calibri" w:hAnsi="Calibri" w:cs="Arial"/>
        </w:rPr>
        <w:t xml:space="preserve"> Fund’s assets is considered in the light of potential demands for cash.</w:t>
      </w:r>
    </w:p>
    <w:p w14:paraId="5E899283" w14:textId="77777777" w:rsidR="00757115" w:rsidRDefault="00757115" w:rsidP="00757115">
      <w:pPr>
        <w:pStyle w:val="ListParagraph"/>
        <w:spacing w:before="0" w:after="0" w:line="240" w:lineRule="auto"/>
        <w:ind w:left="567"/>
        <w:jc w:val="both"/>
        <w:rPr>
          <w:rFonts w:ascii="Calibri" w:hAnsi="Calibri" w:cs="Arial"/>
        </w:rPr>
      </w:pPr>
    </w:p>
    <w:p w14:paraId="5EC68D72" w14:textId="77777777" w:rsidR="007B0BF5" w:rsidRDefault="007B0BF5" w:rsidP="00EB35F1">
      <w:pPr>
        <w:pStyle w:val="ListParagraph"/>
        <w:numPr>
          <w:ilvl w:val="1"/>
          <w:numId w:val="8"/>
        </w:numPr>
        <w:spacing w:before="0" w:after="0" w:line="240" w:lineRule="auto"/>
        <w:ind w:left="567" w:hanging="567"/>
        <w:jc w:val="both"/>
        <w:rPr>
          <w:rFonts w:ascii="Calibri" w:hAnsi="Calibri" w:cs="Arial"/>
        </w:rPr>
      </w:pPr>
      <w:r>
        <w:rPr>
          <w:rFonts w:ascii="Calibri" w:hAnsi="Calibri" w:cs="Arial"/>
          <w:b/>
        </w:rPr>
        <w:t>Stock Lending</w:t>
      </w:r>
    </w:p>
    <w:p w14:paraId="022D3F2F" w14:textId="31BBDA84" w:rsidR="00ED5F3D" w:rsidRDefault="00757115" w:rsidP="00ED5F3D">
      <w:pPr>
        <w:spacing w:before="0" w:after="0" w:line="240" w:lineRule="auto"/>
        <w:ind w:left="567"/>
        <w:jc w:val="both"/>
        <w:rPr>
          <w:rFonts w:ascii="Calibri" w:hAnsi="Calibri" w:cs="Arial"/>
        </w:rPr>
      </w:pPr>
      <w:r w:rsidRPr="007B0BF5">
        <w:rPr>
          <w:rFonts w:ascii="Calibri" w:hAnsi="Calibri" w:cs="Arial"/>
        </w:rPr>
        <w:t xml:space="preserve">The </w:t>
      </w:r>
      <w:r w:rsidR="00960D22">
        <w:rPr>
          <w:rFonts w:ascii="Calibri" w:hAnsi="Calibri" w:cs="Arial"/>
        </w:rPr>
        <w:t xml:space="preserve">Fund </w:t>
      </w:r>
      <w:r w:rsidR="00EE6A7E">
        <w:rPr>
          <w:rFonts w:ascii="Calibri" w:hAnsi="Calibri" w:cs="Arial"/>
        </w:rPr>
        <w:t>does not participate in stock lending but may do so in the future</w:t>
      </w:r>
      <w:r w:rsidR="00960D22">
        <w:rPr>
          <w:rFonts w:ascii="Calibri" w:hAnsi="Calibri" w:cs="Arial"/>
        </w:rPr>
        <w:t>,</w:t>
      </w:r>
      <w:r w:rsidR="00EE6A7E">
        <w:rPr>
          <w:rFonts w:ascii="Calibri" w:hAnsi="Calibri" w:cs="Arial"/>
        </w:rPr>
        <w:t xml:space="preserve"> subject to appropriate safeguards being in place and Committee approval</w:t>
      </w:r>
      <w:r w:rsidR="0024189F">
        <w:rPr>
          <w:rFonts w:ascii="Calibri" w:hAnsi="Calibri" w:cs="Arial"/>
        </w:rPr>
        <w:t>.</w:t>
      </w:r>
      <w:r w:rsidR="00EE6A7E">
        <w:rPr>
          <w:rFonts w:ascii="Calibri" w:hAnsi="Calibri" w:cs="Arial"/>
        </w:rPr>
        <w:t xml:space="preserve"> </w:t>
      </w:r>
    </w:p>
    <w:p w14:paraId="663B529C" w14:textId="77777777" w:rsidR="00CF2218" w:rsidRDefault="00CF2218" w:rsidP="00D644EA">
      <w:pPr>
        <w:spacing w:before="0" w:after="0" w:line="240" w:lineRule="auto"/>
        <w:jc w:val="both"/>
        <w:rPr>
          <w:rFonts w:ascii="Calibri" w:hAnsi="Calibri" w:cs="Arial"/>
        </w:rPr>
      </w:pPr>
    </w:p>
    <w:p w14:paraId="1CDDAFB7" w14:textId="77777777" w:rsidR="00ED5F3D" w:rsidRPr="007B0BF5" w:rsidRDefault="00ED5F3D" w:rsidP="00EB35F1">
      <w:pPr>
        <w:pStyle w:val="ListParagraph"/>
        <w:numPr>
          <w:ilvl w:val="1"/>
          <w:numId w:val="8"/>
        </w:numPr>
        <w:spacing w:before="0" w:after="0" w:line="240" w:lineRule="auto"/>
        <w:ind w:left="567" w:hanging="567"/>
        <w:jc w:val="both"/>
        <w:rPr>
          <w:rFonts w:ascii="Calibri" w:hAnsi="Calibri" w:cs="Arial"/>
        </w:rPr>
      </w:pPr>
      <w:r>
        <w:rPr>
          <w:rFonts w:ascii="Calibri" w:hAnsi="Calibri" w:cs="Arial"/>
          <w:b/>
        </w:rPr>
        <w:t>Underwriting</w:t>
      </w:r>
    </w:p>
    <w:p w14:paraId="7FAAB773" w14:textId="77777777" w:rsidR="00ED5F3D" w:rsidRDefault="00ED5F3D" w:rsidP="00ED5F3D">
      <w:pPr>
        <w:pStyle w:val="ListParagraph"/>
        <w:spacing w:before="0" w:after="0" w:line="240" w:lineRule="auto"/>
        <w:ind w:left="567"/>
        <w:jc w:val="both"/>
        <w:rPr>
          <w:rFonts w:ascii="Calibri" w:hAnsi="Calibri" w:cs="Arial"/>
        </w:rPr>
      </w:pPr>
      <w:r>
        <w:rPr>
          <w:rFonts w:ascii="Calibri" w:hAnsi="Calibri" w:cs="Arial"/>
        </w:rPr>
        <w:t>Managers are permitted to underwrite and sub</w:t>
      </w:r>
      <w:r w:rsidR="00FE341D">
        <w:rPr>
          <w:rFonts w:ascii="Calibri" w:hAnsi="Calibri" w:cs="Arial"/>
        </w:rPr>
        <w:t>-</w:t>
      </w:r>
      <w:r>
        <w:rPr>
          <w:rFonts w:ascii="Calibri" w:hAnsi="Calibri" w:cs="Arial"/>
        </w:rPr>
        <w:t xml:space="preserve">underwrite stock issues subject to the security being deemed attractive on a medium-term view and subject to the application </w:t>
      </w:r>
      <w:r w:rsidR="00267F55">
        <w:rPr>
          <w:rFonts w:ascii="Calibri" w:hAnsi="Calibri" w:cs="Arial"/>
        </w:rPr>
        <w:t xml:space="preserve">being </w:t>
      </w:r>
      <w:r>
        <w:rPr>
          <w:rFonts w:ascii="Calibri" w:hAnsi="Calibri" w:cs="Arial"/>
        </w:rPr>
        <w:t xml:space="preserve">limited to an amount the manager would wish to hold over the medium term. </w:t>
      </w:r>
    </w:p>
    <w:p w14:paraId="534CC1EB" w14:textId="77777777" w:rsidR="00ED5F3D" w:rsidRDefault="00ED5F3D" w:rsidP="00ED5F3D">
      <w:pPr>
        <w:spacing w:before="0" w:after="0" w:line="240" w:lineRule="auto"/>
        <w:ind w:left="567"/>
        <w:jc w:val="both"/>
        <w:rPr>
          <w:rFonts w:ascii="Calibri" w:hAnsi="Calibri" w:cs="Arial"/>
        </w:rPr>
      </w:pPr>
    </w:p>
    <w:p w14:paraId="42B83A0D" w14:textId="77777777" w:rsidR="00ED5F3D" w:rsidRPr="007B0BF5" w:rsidRDefault="00267F55" w:rsidP="00EB35F1">
      <w:pPr>
        <w:pStyle w:val="ListParagraph"/>
        <w:numPr>
          <w:ilvl w:val="1"/>
          <w:numId w:val="8"/>
        </w:numPr>
        <w:spacing w:before="0" w:after="0" w:line="240" w:lineRule="auto"/>
        <w:ind w:left="567" w:hanging="567"/>
        <w:jc w:val="both"/>
        <w:rPr>
          <w:rFonts w:ascii="Calibri" w:hAnsi="Calibri" w:cs="Arial"/>
        </w:rPr>
      </w:pPr>
      <w:r>
        <w:rPr>
          <w:rFonts w:ascii="Calibri" w:hAnsi="Calibri" w:cs="Arial"/>
          <w:b/>
        </w:rPr>
        <w:t>Derivatives</w:t>
      </w:r>
    </w:p>
    <w:p w14:paraId="3097CADB" w14:textId="23D9A08F" w:rsidR="00267F55" w:rsidRDefault="00267F55" w:rsidP="00267F55">
      <w:pPr>
        <w:pStyle w:val="ListParagraph"/>
        <w:spacing w:before="0" w:after="0" w:line="240" w:lineRule="auto"/>
        <w:ind w:left="567"/>
        <w:jc w:val="both"/>
        <w:rPr>
          <w:rFonts w:ascii="Calibri" w:hAnsi="Calibri" w:cs="Arial"/>
        </w:rPr>
      </w:pPr>
      <w:r>
        <w:rPr>
          <w:rFonts w:ascii="Calibri" w:hAnsi="Calibri" w:cs="Arial"/>
        </w:rPr>
        <w:t>The Committee has approved the use of derivatives, subject to prevailing legislation and control levels outlined in investment manager agreements.  A derivative is a security or contract that derives its value from its relationship with another asset.  The Fund</w:t>
      </w:r>
      <w:r w:rsidR="0024189F">
        <w:rPr>
          <w:rFonts w:ascii="Calibri" w:hAnsi="Calibri" w:cs="Arial"/>
        </w:rPr>
        <w:t xml:space="preserve"> </w:t>
      </w:r>
      <w:r>
        <w:rPr>
          <w:rFonts w:ascii="Calibri" w:hAnsi="Calibri" w:cs="Arial"/>
        </w:rPr>
        <w:t xml:space="preserve">may make use of contracts for differences and other derivatives either directly or in pooled funds investing in these products for efficient portfolio management or to hedge specific risks.  For example, forward currency contracts </w:t>
      </w:r>
      <w:proofErr w:type="gramStart"/>
      <w:r>
        <w:rPr>
          <w:rFonts w:ascii="Calibri" w:hAnsi="Calibri" w:cs="Arial"/>
        </w:rPr>
        <w:t>allow</w:t>
      </w:r>
      <w:r w:rsidR="0024189F">
        <w:rPr>
          <w:rFonts w:ascii="Calibri" w:hAnsi="Calibri" w:cs="Arial"/>
        </w:rPr>
        <w:t>s</w:t>
      </w:r>
      <w:proofErr w:type="gramEnd"/>
      <w:r>
        <w:rPr>
          <w:rFonts w:ascii="Calibri" w:hAnsi="Calibri" w:cs="Arial"/>
        </w:rPr>
        <w:t xml:space="preserve"> the Fund to reduce risk from currency fluctuations and equity futures allow the Fund</w:t>
      </w:r>
      <w:r w:rsidR="000543EE">
        <w:rPr>
          <w:rFonts w:ascii="Calibri" w:hAnsi="Calibri" w:cs="Arial"/>
        </w:rPr>
        <w:t xml:space="preserve"> </w:t>
      </w:r>
      <w:r>
        <w:rPr>
          <w:rFonts w:ascii="Calibri" w:hAnsi="Calibri" w:cs="Arial"/>
        </w:rPr>
        <w:t xml:space="preserve">to reduce </w:t>
      </w:r>
      <w:r w:rsidRPr="00786058">
        <w:rPr>
          <w:rFonts w:ascii="Calibri" w:hAnsi="Calibri" w:cs="Arial"/>
        </w:rPr>
        <w:t xml:space="preserve">risk during </w:t>
      </w:r>
      <w:r w:rsidR="00FE341D" w:rsidRPr="00786058">
        <w:rPr>
          <w:rFonts w:ascii="Calibri" w:hAnsi="Calibri" w:cs="Arial"/>
        </w:rPr>
        <w:t>major portfolio rebalances/</w:t>
      </w:r>
      <w:r w:rsidRPr="00786058">
        <w:rPr>
          <w:rFonts w:ascii="Calibri" w:hAnsi="Calibri" w:cs="Arial"/>
        </w:rPr>
        <w:t>transitions</w:t>
      </w:r>
      <w:r>
        <w:rPr>
          <w:rFonts w:ascii="Calibri" w:hAnsi="Calibri" w:cs="Arial"/>
        </w:rPr>
        <w:t xml:space="preserve">. </w:t>
      </w:r>
    </w:p>
    <w:p w14:paraId="4A4E0DFF" w14:textId="77777777" w:rsidR="00267F55" w:rsidRDefault="00267F55" w:rsidP="00267F55">
      <w:pPr>
        <w:spacing w:before="0" w:after="0" w:line="240" w:lineRule="auto"/>
        <w:jc w:val="both"/>
        <w:rPr>
          <w:rFonts w:ascii="Calibri" w:hAnsi="Calibri" w:cs="Arial"/>
        </w:rPr>
      </w:pPr>
    </w:p>
    <w:p w14:paraId="2F7BD2B1" w14:textId="77777777" w:rsidR="00ED5F3D" w:rsidRPr="00267F55" w:rsidRDefault="00267F55" w:rsidP="00EB35F1">
      <w:pPr>
        <w:pStyle w:val="ListParagraph"/>
        <w:numPr>
          <w:ilvl w:val="1"/>
          <w:numId w:val="8"/>
        </w:numPr>
        <w:spacing w:before="0" w:after="0" w:line="240" w:lineRule="auto"/>
        <w:ind w:left="567" w:hanging="567"/>
        <w:jc w:val="both"/>
        <w:rPr>
          <w:rFonts w:ascii="Calibri" w:hAnsi="Calibri" w:cs="Arial"/>
        </w:rPr>
      </w:pPr>
      <w:r>
        <w:rPr>
          <w:rFonts w:ascii="Calibri" w:hAnsi="Calibri" w:cs="Arial"/>
          <w:b/>
        </w:rPr>
        <w:t>Safekeeping of Assets</w:t>
      </w:r>
    </w:p>
    <w:p w14:paraId="3D67DF4C" w14:textId="77777777" w:rsidR="00960D22" w:rsidRDefault="00960D22" w:rsidP="00267F55">
      <w:pPr>
        <w:spacing w:before="0" w:after="0" w:line="240" w:lineRule="auto"/>
        <w:ind w:left="567"/>
        <w:jc w:val="both"/>
        <w:rPr>
          <w:rFonts w:ascii="Calibri" w:hAnsi="Calibri" w:cs="Arial"/>
        </w:rPr>
      </w:pPr>
      <w:r>
        <w:rPr>
          <w:rFonts w:ascii="Calibri" w:hAnsi="Calibri" w:cs="Arial"/>
        </w:rPr>
        <w:t>A</w:t>
      </w:r>
      <w:r w:rsidR="00267F55">
        <w:rPr>
          <w:rFonts w:ascii="Calibri" w:hAnsi="Calibri" w:cs="Arial"/>
        </w:rPr>
        <w:t xml:space="preserve"> global custodian </w:t>
      </w:r>
      <w:r>
        <w:rPr>
          <w:rFonts w:ascii="Calibri" w:hAnsi="Calibri" w:cs="Arial"/>
        </w:rPr>
        <w:t>is</w:t>
      </w:r>
      <w:r w:rsidR="00267F55">
        <w:rPr>
          <w:rFonts w:ascii="Calibri" w:hAnsi="Calibri" w:cs="Arial"/>
        </w:rPr>
        <w:t xml:space="preserve"> employed to ensure the safekeeping of investments.</w:t>
      </w:r>
    </w:p>
    <w:p w14:paraId="3C4EAF16" w14:textId="54EE4BC3" w:rsidR="00267F55" w:rsidRPr="00267F55" w:rsidRDefault="00267F55" w:rsidP="00267F55">
      <w:pPr>
        <w:spacing w:before="0" w:after="0" w:line="240" w:lineRule="auto"/>
        <w:ind w:left="567"/>
        <w:jc w:val="both"/>
        <w:rPr>
          <w:rFonts w:ascii="Calibri" w:hAnsi="Calibri" w:cs="Arial"/>
        </w:rPr>
      </w:pPr>
      <w:r>
        <w:rPr>
          <w:rFonts w:ascii="Calibri" w:hAnsi="Calibri" w:cs="Arial"/>
        </w:rPr>
        <w:t xml:space="preserve"> </w:t>
      </w:r>
    </w:p>
    <w:p w14:paraId="7B509F75" w14:textId="77777777" w:rsidR="00FA030D" w:rsidRPr="00ED5F3D" w:rsidRDefault="00FA030D" w:rsidP="00ED5F3D">
      <w:pPr>
        <w:spacing w:before="0" w:after="0" w:line="240" w:lineRule="auto"/>
        <w:ind w:firstLine="567"/>
        <w:jc w:val="both"/>
        <w:rPr>
          <w:rFonts w:ascii="Calibri" w:hAnsi="Calibri" w:cs="Arial"/>
        </w:rPr>
      </w:pPr>
    </w:p>
    <w:p w14:paraId="563803EC" w14:textId="73EDFF75" w:rsidR="002039BB" w:rsidRPr="00FE6695" w:rsidRDefault="00FA030D" w:rsidP="002039BB">
      <w:pPr>
        <w:pStyle w:val="Heading1"/>
        <w:ind w:left="567" w:hanging="567"/>
      </w:pPr>
      <w:r>
        <w:t>8</w:t>
      </w:r>
      <w:r w:rsidR="002039BB">
        <w:t>. compliance</w:t>
      </w:r>
    </w:p>
    <w:p w14:paraId="3DFB5BB0" w14:textId="77777777" w:rsidR="002039BB" w:rsidRPr="002039BB" w:rsidRDefault="002039BB" w:rsidP="002039BB">
      <w:pPr>
        <w:spacing w:before="0" w:after="0" w:line="240" w:lineRule="auto"/>
        <w:jc w:val="both"/>
        <w:rPr>
          <w:rFonts w:ascii="Calibri" w:hAnsi="Calibri" w:cs="Arial"/>
        </w:rPr>
      </w:pPr>
    </w:p>
    <w:p w14:paraId="6EF93871" w14:textId="77777777" w:rsidR="007B0BF5" w:rsidRPr="002039BB" w:rsidRDefault="004E57DE" w:rsidP="00EB35F1">
      <w:pPr>
        <w:pStyle w:val="ListParagraph"/>
        <w:numPr>
          <w:ilvl w:val="1"/>
          <w:numId w:val="11"/>
        </w:numPr>
        <w:spacing w:before="0" w:after="0" w:line="240" w:lineRule="auto"/>
        <w:ind w:left="567" w:hanging="567"/>
        <w:jc w:val="both"/>
        <w:rPr>
          <w:rFonts w:ascii="Calibri" w:hAnsi="Calibri" w:cs="Arial"/>
          <w:b/>
        </w:rPr>
      </w:pPr>
      <w:r w:rsidRPr="002039BB">
        <w:rPr>
          <w:rFonts w:ascii="Calibri" w:hAnsi="Calibri" w:cs="Arial"/>
          <w:b/>
        </w:rPr>
        <w:t>Regulations and Investment Limits</w:t>
      </w:r>
    </w:p>
    <w:p w14:paraId="69F72828" w14:textId="72C5C53C" w:rsidR="004E57DE" w:rsidRDefault="004E57DE" w:rsidP="00ED5F3D">
      <w:pPr>
        <w:spacing w:before="0" w:after="0" w:line="240" w:lineRule="auto"/>
        <w:ind w:left="567"/>
        <w:jc w:val="both"/>
        <w:rPr>
          <w:rFonts w:ascii="Calibri" w:hAnsi="Calibri" w:cs="Arial"/>
        </w:rPr>
      </w:pPr>
      <w:r w:rsidRPr="007B0BF5">
        <w:rPr>
          <w:rFonts w:ascii="Calibri" w:hAnsi="Calibri" w:cs="Arial"/>
        </w:rPr>
        <w:t xml:space="preserve">The Fund </w:t>
      </w:r>
      <w:r w:rsidR="0024189F">
        <w:rPr>
          <w:rFonts w:ascii="Calibri" w:hAnsi="Calibri" w:cs="Arial"/>
        </w:rPr>
        <w:t>is</w:t>
      </w:r>
      <w:r w:rsidRPr="007B0BF5">
        <w:rPr>
          <w:rFonts w:ascii="Calibri" w:hAnsi="Calibri" w:cs="Arial"/>
        </w:rPr>
        <w:t xml:space="preserve"> complia</w:t>
      </w:r>
      <w:r w:rsidR="00E33ABF">
        <w:rPr>
          <w:rFonts w:ascii="Calibri" w:hAnsi="Calibri" w:cs="Arial"/>
        </w:rPr>
        <w:t xml:space="preserve">nt </w:t>
      </w:r>
      <w:r w:rsidRPr="007B0BF5">
        <w:rPr>
          <w:rFonts w:ascii="Calibri" w:hAnsi="Calibri" w:cs="Arial"/>
        </w:rPr>
        <w:t xml:space="preserve">with the statutory </w:t>
      </w:r>
      <w:r w:rsidR="007B0BF5">
        <w:rPr>
          <w:rFonts w:ascii="Calibri" w:hAnsi="Calibri" w:cs="Arial"/>
        </w:rPr>
        <w:t>restrictions set out in t</w:t>
      </w:r>
      <w:r w:rsidRPr="007B0BF5">
        <w:rPr>
          <w:rFonts w:ascii="Calibri" w:hAnsi="Calibri" w:cs="Arial"/>
        </w:rPr>
        <w:t>he Local Government Pension Scheme (Management and Investment of Funds) (Scotland) Regulations 2010 and the Local Government Pension Scheme (Management and Investment of Funds) (Scotland) Amendment Regulations 2016.</w:t>
      </w:r>
    </w:p>
    <w:p w14:paraId="7075B490" w14:textId="77777777" w:rsidR="00236EC8" w:rsidRDefault="00236EC8" w:rsidP="00ED5F3D">
      <w:pPr>
        <w:spacing w:before="0" w:after="0" w:line="240" w:lineRule="auto"/>
        <w:ind w:left="567"/>
        <w:jc w:val="both"/>
        <w:rPr>
          <w:rFonts w:ascii="Calibri" w:hAnsi="Calibri" w:cs="Arial"/>
        </w:rPr>
      </w:pPr>
    </w:p>
    <w:p w14:paraId="6E9CEC60" w14:textId="04413523" w:rsidR="00236EC8" w:rsidRDefault="00236EC8" w:rsidP="00236EC8">
      <w:pPr>
        <w:spacing w:before="0" w:after="0" w:line="240" w:lineRule="auto"/>
        <w:ind w:left="567" w:hanging="567"/>
        <w:jc w:val="both"/>
        <w:rPr>
          <w:rFonts w:ascii="Calibri" w:hAnsi="Calibri" w:cs="Arial"/>
          <w:b/>
        </w:rPr>
      </w:pPr>
      <w:r>
        <w:rPr>
          <w:rFonts w:ascii="Calibri" w:hAnsi="Calibri" w:cs="Arial"/>
        </w:rPr>
        <w:lastRenderedPageBreak/>
        <w:t>8.2</w:t>
      </w:r>
      <w:r>
        <w:rPr>
          <w:rFonts w:ascii="Calibri" w:hAnsi="Calibri" w:cs="Arial"/>
        </w:rPr>
        <w:tab/>
        <w:t xml:space="preserve">In terms of reporting, the Fund also complies with the Local Authority Accounting (Scotland) Regulations 2014 and the Local Government Pension Scheme (Scotland) Regulations 2018. These require the publication of an Annual Report and Accounts duly approved and audited.   </w:t>
      </w:r>
    </w:p>
    <w:p w14:paraId="49CC6FF5" w14:textId="77777777" w:rsidR="00ED5F3D" w:rsidRPr="00ED5F3D" w:rsidRDefault="00ED5F3D" w:rsidP="00ED5F3D">
      <w:pPr>
        <w:spacing w:before="0" w:after="0" w:line="240" w:lineRule="auto"/>
        <w:ind w:left="567"/>
        <w:jc w:val="both"/>
        <w:rPr>
          <w:rFonts w:ascii="Calibri" w:hAnsi="Calibri" w:cs="Arial"/>
          <w:b/>
        </w:rPr>
      </w:pPr>
    </w:p>
    <w:p w14:paraId="42EFD349" w14:textId="2B295A02" w:rsidR="004E57DE" w:rsidRPr="00236EC8" w:rsidRDefault="00236EC8" w:rsidP="00236EC8">
      <w:pPr>
        <w:spacing w:before="0" w:after="0" w:line="240" w:lineRule="auto"/>
        <w:ind w:left="567" w:hanging="567"/>
        <w:jc w:val="both"/>
        <w:rPr>
          <w:rFonts w:ascii="Calibri" w:hAnsi="Calibri" w:cs="Arial"/>
        </w:rPr>
      </w:pPr>
      <w:r>
        <w:rPr>
          <w:rFonts w:ascii="Calibri" w:hAnsi="Calibri" w:cs="Arial"/>
        </w:rPr>
        <w:t>8.3</w:t>
      </w:r>
      <w:r>
        <w:rPr>
          <w:rFonts w:ascii="Calibri" w:hAnsi="Calibri" w:cs="Arial"/>
        </w:rPr>
        <w:tab/>
      </w:r>
      <w:r w:rsidR="00E33ABF" w:rsidRPr="00236EC8">
        <w:rPr>
          <w:rFonts w:ascii="Calibri" w:hAnsi="Calibri" w:cs="Arial"/>
        </w:rPr>
        <w:t xml:space="preserve">The </w:t>
      </w:r>
      <w:r w:rsidR="008E1D41" w:rsidRPr="00236EC8">
        <w:rPr>
          <w:rFonts w:ascii="Calibri" w:hAnsi="Calibri" w:cs="Arial"/>
        </w:rPr>
        <w:t>R</w:t>
      </w:r>
      <w:r w:rsidR="004E57DE" w:rsidRPr="00236EC8">
        <w:rPr>
          <w:rFonts w:ascii="Calibri" w:hAnsi="Calibri" w:cs="Arial"/>
        </w:rPr>
        <w:t>egulations contain limits on the percentage of a pension fund that may be invested in certain asset types</w:t>
      </w:r>
      <w:r w:rsidR="00E33ABF" w:rsidRPr="00236EC8">
        <w:rPr>
          <w:rFonts w:ascii="Calibri" w:hAnsi="Calibri" w:cs="Arial"/>
        </w:rPr>
        <w:t xml:space="preserve">.  </w:t>
      </w:r>
      <w:r w:rsidR="004E57DE" w:rsidRPr="00236EC8">
        <w:rPr>
          <w:rFonts w:ascii="Calibri" w:hAnsi="Calibri" w:cs="Arial"/>
        </w:rPr>
        <w:t xml:space="preserve"> </w:t>
      </w:r>
      <w:r w:rsidR="00E33ABF" w:rsidRPr="00236EC8">
        <w:rPr>
          <w:rFonts w:ascii="Calibri" w:hAnsi="Calibri" w:cs="Arial"/>
        </w:rPr>
        <w:t xml:space="preserve">In accordance with the </w:t>
      </w:r>
      <w:r w:rsidR="008E1D41" w:rsidRPr="00236EC8">
        <w:rPr>
          <w:rFonts w:ascii="Calibri" w:hAnsi="Calibri" w:cs="Arial"/>
        </w:rPr>
        <w:t>R</w:t>
      </w:r>
      <w:r w:rsidR="00E33ABF" w:rsidRPr="00236EC8">
        <w:rPr>
          <w:rFonts w:ascii="Calibri" w:hAnsi="Calibri" w:cs="Arial"/>
        </w:rPr>
        <w:t>egulations, t</w:t>
      </w:r>
      <w:r w:rsidR="004E57DE" w:rsidRPr="00236EC8">
        <w:rPr>
          <w:rFonts w:ascii="Calibri" w:hAnsi="Calibri" w:cs="Arial"/>
        </w:rPr>
        <w:t>he Committee have agreed the limits applicable to the Fund’</w:t>
      </w:r>
      <w:r w:rsidR="003B4F75" w:rsidRPr="00236EC8">
        <w:rPr>
          <w:rFonts w:ascii="Calibri" w:hAnsi="Calibri" w:cs="Arial"/>
        </w:rPr>
        <w:t>s</w:t>
      </w:r>
      <w:r w:rsidR="004E57DE" w:rsidRPr="00236EC8">
        <w:rPr>
          <w:rFonts w:ascii="Calibri" w:hAnsi="Calibri" w:cs="Arial"/>
        </w:rPr>
        <w:t xml:space="preserve"> investments in partnerships to accommodate the allocation to unlisted investments, including infrastructure, timber, property, </w:t>
      </w:r>
      <w:proofErr w:type="gramStart"/>
      <w:r w:rsidR="004E57DE" w:rsidRPr="00236EC8">
        <w:rPr>
          <w:rFonts w:ascii="Calibri" w:hAnsi="Calibri" w:cs="Arial"/>
        </w:rPr>
        <w:t>equity</w:t>
      </w:r>
      <w:proofErr w:type="gramEnd"/>
      <w:r w:rsidR="004E57DE" w:rsidRPr="00236EC8">
        <w:rPr>
          <w:rFonts w:ascii="Calibri" w:hAnsi="Calibri" w:cs="Arial"/>
        </w:rPr>
        <w:t xml:space="preserve"> and debt.  The limits agreed by Committee are:</w:t>
      </w:r>
    </w:p>
    <w:p w14:paraId="058963BA" w14:textId="77777777" w:rsidR="007B0BF5" w:rsidRPr="007B0BF5" w:rsidRDefault="007B0BF5" w:rsidP="007B0BF5">
      <w:pPr>
        <w:spacing w:before="0" w:after="0" w:line="240" w:lineRule="auto"/>
        <w:jc w:val="both"/>
        <w:rPr>
          <w:rFonts w:ascii="Calibri" w:hAnsi="Calibri" w:cs="Arial"/>
        </w:rPr>
      </w:pPr>
    </w:p>
    <w:p w14:paraId="02C37FA3" w14:textId="77777777" w:rsidR="004E57DE" w:rsidRDefault="004E57DE" w:rsidP="00EB35F1">
      <w:pPr>
        <w:pStyle w:val="ListParagraph"/>
        <w:numPr>
          <w:ilvl w:val="0"/>
          <w:numId w:val="10"/>
        </w:numPr>
        <w:spacing w:before="0" w:after="0" w:line="240" w:lineRule="auto"/>
        <w:jc w:val="both"/>
        <w:rPr>
          <w:rFonts w:ascii="Calibri" w:hAnsi="Calibri" w:cs="Arial"/>
        </w:rPr>
      </w:pPr>
      <w:r>
        <w:rPr>
          <w:rFonts w:ascii="Calibri" w:hAnsi="Calibri" w:cs="Arial"/>
        </w:rPr>
        <w:t>All contributions to any single partnerships</w:t>
      </w:r>
      <w:r w:rsidR="007B0BF5">
        <w:rPr>
          <w:rFonts w:ascii="Calibri" w:hAnsi="Calibri" w:cs="Arial"/>
        </w:rPr>
        <w:t xml:space="preserve">: </w:t>
      </w:r>
      <w:r>
        <w:rPr>
          <w:rFonts w:ascii="Calibri" w:hAnsi="Calibri" w:cs="Arial"/>
        </w:rPr>
        <w:t>5% (statutory maximum of 5%)</w:t>
      </w:r>
    </w:p>
    <w:p w14:paraId="21043202" w14:textId="77777777" w:rsidR="007B0BF5" w:rsidRDefault="007B0BF5" w:rsidP="007B0BF5">
      <w:pPr>
        <w:pStyle w:val="ListParagraph"/>
        <w:spacing w:before="0" w:after="0" w:line="240" w:lineRule="auto"/>
        <w:ind w:left="1287"/>
        <w:jc w:val="both"/>
        <w:rPr>
          <w:rFonts w:ascii="Calibri" w:hAnsi="Calibri" w:cs="Arial"/>
        </w:rPr>
      </w:pPr>
    </w:p>
    <w:p w14:paraId="38FF4D7F" w14:textId="1D37202D" w:rsidR="004E57DE" w:rsidRDefault="004E57DE" w:rsidP="00FA030D">
      <w:pPr>
        <w:pStyle w:val="ListParagraph"/>
        <w:numPr>
          <w:ilvl w:val="0"/>
          <w:numId w:val="10"/>
        </w:numPr>
        <w:spacing w:before="0" w:after="0" w:line="240" w:lineRule="auto"/>
        <w:rPr>
          <w:rFonts w:ascii="Calibri" w:hAnsi="Calibri" w:cs="Arial"/>
        </w:rPr>
      </w:pPr>
      <w:r>
        <w:rPr>
          <w:rFonts w:ascii="Calibri" w:hAnsi="Calibri" w:cs="Arial"/>
        </w:rPr>
        <w:t>Contributions to all partnerships</w:t>
      </w:r>
      <w:r w:rsidR="007B0BF5">
        <w:rPr>
          <w:rFonts w:ascii="Calibri" w:hAnsi="Calibri" w:cs="Arial"/>
        </w:rPr>
        <w:t>: 20% (statutory maximum of 30%)</w:t>
      </w:r>
      <w:r w:rsidR="001A3352">
        <w:rPr>
          <w:rFonts w:ascii="Calibri" w:hAnsi="Calibri" w:cs="Arial"/>
        </w:rPr>
        <w:br/>
      </w:r>
    </w:p>
    <w:p w14:paraId="60205E80" w14:textId="192236F6" w:rsidR="004E57DE" w:rsidRDefault="004E57DE" w:rsidP="00ED5F3D">
      <w:pPr>
        <w:pStyle w:val="ListParagraph"/>
        <w:spacing w:before="0" w:after="0" w:line="240" w:lineRule="auto"/>
        <w:ind w:left="567"/>
        <w:jc w:val="both"/>
        <w:rPr>
          <w:rFonts w:ascii="Calibri" w:hAnsi="Calibri" w:cs="Arial"/>
        </w:rPr>
      </w:pPr>
      <w:r w:rsidRPr="004E57DE">
        <w:rPr>
          <w:rFonts w:ascii="Calibri" w:hAnsi="Calibri" w:cs="Arial"/>
        </w:rPr>
        <w:t xml:space="preserve">The Committee </w:t>
      </w:r>
      <w:r w:rsidR="00960D22">
        <w:rPr>
          <w:rFonts w:ascii="Calibri" w:hAnsi="Calibri" w:cs="Arial"/>
        </w:rPr>
        <w:t>has taken</w:t>
      </w:r>
      <w:r w:rsidRPr="004E57DE">
        <w:rPr>
          <w:rFonts w:ascii="Calibri" w:hAnsi="Calibri" w:cs="Arial"/>
        </w:rPr>
        <w:t xml:space="preserve"> proper advice in respect of these limits </w:t>
      </w:r>
      <w:r w:rsidRPr="00786058">
        <w:rPr>
          <w:rFonts w:ascii="Calibri" w:hAnsi="Calibri" w:cs="Arial"/>
        </w:rPr>
        <w:t xml:space="preserve">from the </w:t>
      </w:r>
      <w:r w:rsidR="008B6950">
        <w:rPr>
          <w:rFonts w:ascii="Calibri" w:hAnsi="Calibri" w:cs="Arial"/>
        </w:rPr>
        <w:t>JIF</w:t>
      </w:r>
      <w:r w:rsidRPr="004E57DE">
        <w:rPr>
          <w:rFonts w:ascii="Calibri" w:hAnsi="Calibri" w:cs="Arial"/>
        </w:rPr>
        <w:t xml:space="preserve"> and from officers.  The limits will apply for the period during which the Fund’</w:t>
      </w:r>
      <w:r w:rsidR="00037CA4">
        <w:rPr>
          <w:rFonts w:ascii="Calibri" w:hAnsi="Calibri" w:cs="Arial"/>
        </w:rPr>
        <w:t>s</w:t>
      </w:r>
      <w:r w:rsidRPr="004E57DE">
        <w:rPr>
          <w:rFonts w:ascii="Calibri" w:hAnsi="Calibri" w:cs="Arial"/>
        </w:rPr>
        <w:t xml:space="preserve"> strategic allocations include investments in </w:t>
      </w:r>
      <w:r w:rsidR="00E579FD" w:rsidRPr="004E57DE">
        <w:rPr>
          <w:rFonts w:ascii="Calibri" w:hAnsi="Calibri" w:cs="Arial"/>
        </w:rPr>
        <w:t>partnerships unless</w:t>
      </w:r>
      <w:r w:rsidRPr="004E57DE">
        <w:rPr>
          <w:rFonts w:ascii="Calibri" w:hAnsi="Calibri" w:cs="Arial"/>
        </w:rPr>
        <w:t xml:space="preserve"> investment considerations require an earlier review.  This decision is compliant with the Regulations</w:t>
      </w:r>
      <w:r w:rsidR="00ED5F3D">
        <w:rPr>
          <w:rFonts w:ascii="Calibri" w:hAnsi="Calibri" w:cs="Arial"/>
        </w:rPr>
        <w:t>.</w:t>
      </w:r>
    </w:p>
    <w:p w14:paraId="54A03A88" w14:textId="77777777" w:rsidR="00236EC8" w:rsidRPr="00ED5F3D" w:rsidRDefault="00236EC8" w:rsidP="00ED5F3D">
      <w:pPr>
        <w:pStyle w:val="ListParagraph"/>
        <w:spacing w:before="0" w:after="0" w:line="240" w:lineRule="auto"/>
        <w:ind w:left="567"/>
        <w:jc w:val="both"/>
        <w:rPr>
          <w:rFonts w:ascii="Calibri" w:hAnsi="Calibri" w:cs="Arial"/>
        </w:rPr>
      </w:pPr>
    </w:p>
    <w:p w14:paraId="39911C33" w14:textId="5AB105C3" w:rsidR="004E57DE" w:rsidRPr="00236EC8" w:rsidRDefault="00236EC8" w:rsidP="00236EC8">
      <w:pPr>
        <w:tabs>
          <w:tab w:val="left" w:pos="567"/>
        </w:tabs>
        <w:spacing w:before="0" w:after="0" w:line="240" w:lineRule="auto"/>
        <w:jc w:val="both"/>
        <w:rPr>
          <w:rFonts w:ascii="Calibri" w:hAnsi="Calibri" w:cs="Arial"/>
          <w:b/>
        </w:rPr>
      </w:pPr>
      <w:r w:rsidRPr="00236EC8">
        <w:rPr>
          <w:rFonts w:ascii="Calibri" w:hAnsi="Calibri" w:cs="Arial"/>
        </w:rPr>
        <w:t>8.4</w:t>
      </w:r>
      <w:r w:rsidRPr="00236EC8">
        <w:rPr>
          <w:rFonts w:ascii="Calibri" w:hAnsi="Calibri" w:cs="Arial"/>
        </w:rPr>
        <w:tab/>
      </w:r>
      <w:r w:rsidR="004E57DE" w:rsidRPr="00236EC8">
        <w:rPr>
          <w:rFonts w:ascii="Calibri" w:hAnsi="Calibri" w:cs="Arial"/>
          <w:b/>
        </w:rPr>
        <w:t>CIPF</w:t>
      </w:r>
      <w:r w:rsidR="007B0BF5" w:rsidRPr="00236EC8">
        <w:rPr>
          <w:rFonts w:ascii="Calibri" w:hAnsi="Calibri" w:cs="Arial"/>
          <w:b/>
        </w:rPr>
        <w:t>A</w:t>
      </w:r>
      <w:r w:rsidR="004E57DE" w:rsidRPr="00236EC8">
        <w:rPr>
          <w:rFonts w:ascii="Calibri" w:hAnsi="Calibri" w:cs="Arial"/>
          <w:b/>
        </w:rPr>
        <w:t xml:space="preserve"> Principles for Investment Decision Making</w:t>
      </w:r>
    </w:p>
    <w:p w14:paraId="0EF3965D" w14:textId="450E41D0" w:rsidR="002039BB" w:rsidRDefault="007B0BF5" w:rsidP="00ED5F3D">
      <w:pPr>
        <w:spacing w:before="0" w:after="0" w:line="240" w:lineRule="auto"/>
        <w:ind w:left="567"/>
        <w:jc w:val="both"/>
        <w:rPr>
          <w:rFonts w:ascii="Calibri" w:hAnsi="Calibri" w:cs="Arial"/>
        </w:rPr>
      </w:pPr>
      <w:r w:rsidRPr="002039BB">
        <w:rPr>
          <w:rFonts w:ascii="Calibri" w:hAnsi="Calibri" w:cs="Arial"/>
        </w:rPr>
        <w:t>Regulations require administering authorities to publish the extent to which they comply with guidance issued by Scottish Ministers, which in turn refer to guidance issued by the Chartered Institute of Public Finance and Accountancy (CIPFA).  The Fund’</w:t>
      </w:r>
      <w:r w:rsidR="00037CA4">
        <w:rPr>
          <w:rFonts w:ascii="Calibri" w:hAnsi="Calibri" w:cs="Arial"/>
        </w:rPr>
        <w:t>s</w:t>
      </w:r>
      <w:r w:rsidRPr="002039BB">
        <w:rPr>
          <w:rFonts w:ascii="Calibri" w:hAnsi="Calibri" w:cs="Arial"/>
        </w:rPr>
        <w:t xml:space="preserve"> compliance statement is provided in </w:t>
      </w:r>
      <w:r w:rsidRPr="000B0E0D">
        <w:rPr>
          <w:rFonts w:ascii="Calibri" w:hAnsi="Calibri" w:cs="Arial"/>
        </w:rPr>
        <w:t xml:space="preserve">Appendix </w:t>
      </w:r>
      <w:r w:rsidR="00985513" w:rsidRPr="008E069E">
        <w:rPr>
          <w:rFonts w:ascii="Calibri" w:hAnsi="Calibri" w:cs="Arial"/>
        </w:rPr>
        <w:t>D</w:t>
      </w:r>
      <w:r w:rsidRPr="002039BB">
        <w:rPr>
          <w:rFonts w:ascii="Calibri" w:hAnsi="Calibri" w:cs="Arial"/>
        </w:rPr>
        <w:t>.</w:t>
      </w:r>
    </w:p>
    <w:p w14:paraId="31DC2C5A" w14:textId="77777777" w:rsidR="00ED5F3D" w:rsidRDefault="00ED5F3D" w:rsidP="00ED5F3D">
      <w:pPr>
        <w:spacing w:before="0" w:after="0" w:line="240" w:lineRule="auto"/>
        <w:ind w:left="567"/>
        <w:jc w:val="both"/>
        <w:rPr>
          <w:rFonts w:ascii="Calibri" w:hAnsi="Calibri" w:cs="Arial"/>
        </w:rPr>
      </w:pPr>
    </w:p>
    <w:p w14:paraId="669E45DF" w14:textId="03668E46" w:rsidR="002039BB" w:rsidRPr="00236EC8" w:rsidRDefault="00236EC8" w:rsidP="00236EC8">
      <w:pPr>
        <w:tabs>
          <w:tab w:val="left" w:pos="567"/>
        </w:tabs>
        <w:spacing w:before="0" w:after="0" w:line="240" w:lineRule="auto"/>
        <w:jc w:val="both"/>
        <w:rPr>
          <w:rFonts w:ascii="Calibri" w:hAnsi="Calibri" w:cs="Arial"/>
          <w:b/>
        </w:rPr>
      </w:pPr>
      <w:r w:rsidRPr="00236EC8">
        <w:rPr>
          <w:rFonts w:ascii="Calibri" w:hAnsi="Calibri" w:cs="Arial"/>
        </w:rPr>
        <w:t>8.5</w:t>
      </w:r>
      <w:r w:rsidRPr="00236EC8">
        <w:rPr>
          <w:rFonts w:ascii="Calibri" w:hAnsi="Calibri" w:cs="Arial"/>
        </w:rPr>
        <w:tab/>
      </w:r>
      <w:r w:rsidR="002039BB" w:rsidRPr="00236EC8">
        <w:rPr>
          <w:rFonts w:ascii="Calibri" w:hAnsi="Calibri" w:cs="Arial"/>
          <w:b/>
        </w:rPr>
        <w:t>Review of SIP</w:t>
      </w:r>
    </w:p>
    <w:p w14:paraId="60EB594C" w14:textId="2B922ABE" w:rsidR="002039BB" w:rsidRDefault="002039BB" w:rsidP="00ED5F3D">
      <w:pPr>
        <w:spacing w:before="0" w:after="0" w:line="240" w:lineRule="auto"/>
        <w:ind w:left="567"/>
        <w:jc w:val="both"/>
        <w:rPr>
          <w:rFonts w:ascii="Calibri" w:hAnsi="Calibri" w:cs="Arial"/>
        </w:rPr>
      </w:pPr>
      <w:r w:rsidRPr="007B0BF5">
        <w:rPr>
          <w:rFonts w:ascii="Calibri" w:hAnsi="Calibri" w:cs="Arial"/>
        </w:rPr>
        <w:t xml:space="preserve">The </w:t>
      </w:r>
      <w:r>
        <w:rPr>
          <w:rFonts w:ascii="Calibri" w:hAnsi="Calibri" w:cs="Arial"/>
        </w:rPr>
        <w:t xml:space="preserve">Committee will review this statement annually or more frequently if appropriate.  The Committee will consult with such persons as it considers appropriate and take proper advice when revising the statement. </w:t>
      </w:r>
    </w:p>
    <w:p w14:paraId="08AD9647" w14:textId="77777777" w:rsidR="00985513" w:rsidRDefault="00985513" w:rsidP="00ED5F3D">
      <w:pPr>
        <w:spacing w:before="0" w:after="0" w:line="240" w:lineRule="auto"/>
        <w:ind w:left="567"/>
        <w:jc w:val="both"/>
        <w:rPr>
          <w:rFonts w:ascii="Calibri" w:hAnsi="Calibri" w:cs="Arial"/>
        </w:rPr>
      </w:pPr>
    </w:p>
    <w:p w14:paraId="066AC47D" w14:textId="77777777" w:rsidR="00985513" w:rsidRDefault="00985513" w:rsidP="00ED5F3D">
      <w:pPr>
        <w:spacing w:before="0" w:after="0" w:line="240" w:lineRule="auto"/>
        <w:ind w:left="567"/>
        <w:jc w:val="both"/>
        <w:rPr>
          <w:rFonts w:ascii="Calibri" w:hAnsi="Calibri" w:cs="Arial"/>
        </w:rPr>
      </w:pPr>
    </w:p>
    <w:p w14:paraId="4900A6B5" w14:textId="77777777" w:rsidR="00985513" w:rsidRDefault="00985513" w:rsidP="00ED5F3D">
      <w:pPr>
        <w:spacing w:before="0" w:after="0" w:line="240" w:lineRule="auto"/>
        <w:ind w:left="567"/>
        <w:jc w:val="both"/>
        <w:rPr>
          <w:rFonts w:ascii="Calibri" w:hAnsi="Calibri" w:cs="Arial"/>
        </w:rPr>
      </w:pPr>
    </w:p>
    <w:p w14:paraId="3908498B" w14:textId="77777777" w:rsidR="00985513" w:rsidRDefault="00985513" w:rsidP="00ED5F3D">
      <w:pPr>
        <w:spacing w:before="0" w:after="0" w:line="240" w:lineRule="auto"/>
        <w:ind w:left="567"/>
        <w:jc w:val="both"/>
        <w:rPr>
          <w:rFonts w:ascii="Calibri" w:hAnsi="Calibri" w:cs="Arial"/>
        </w:rPr>
      </w:pPr>
    </w:p>
    <w:p w14:paraId="0DFA2088" w14:textId="77777777" w:rsidR="00985513" w:rsidRDefault="00985513" w:rsidP="00ED5F3D">
      <w:pPr>
        <w:spacing w:before="0" w:after="0" w:line="240" w:lineRule="auto"/>
        <w:ind w:left="567"/>
        <w:jc w:val="both"/>
        <w:rPr>
          <w:rFonts w:ascii="Calibri" w:hAnsi="Calibri" w:cs="Arial"/>
        </w:rPr>
      </w:pPr>
    </w:p>
    <w:p w14:paraId="4FBEBC60" w14:textId="77777777" w:rsidR="00985513" w:rsidRDefault="00985513" w:rsidP="00ED5F3D">
      <w:pPr>
        <w:spacing w:before="0" w:after="0" w:line="240" w:lineRule="auto"/>
        <w:ind w:left="567"/>
        <w:jc w:val="both"/>
        <w:rPr>
          <w:rFonts w:ascii="Calibri" w:hAnsi="Calibri" w:cs="Arial"/>
        </w:rPr>
      </w:pPr>
    </w:p>
    <w:p w14:paraId="634D86D7" w14:textId="303AC963" w:rsidR="00985513" w:rsidRDefault="00985513">
      <w:pPr>
        <w:rPr>
          <w:rFonts w:ascii="Calibri" w:hAnsi="Calibri" w:cs="Arial"/>
        </w:rPr>
      </w:pPr>
      <w:r>
        <w:rPr>
          <w:rFonts w:ascii="Calibri" w:hAnsi="Calibri" w:cs="Arial"/>
        </w:rPr>
        <w:br w:type="page"/>
      </w:r>
    </w:p>
    <w:p w14:paraId="3FCD97EB" w14:textId="1378815A" w:rsidR="007D0011" w:rsidRPr="00FE6695" w:rsidRDefault="00D12761" w:rsidP="007D0011">
      <w:pPr>
        <w:pStyle w:val="Heading1"/>
        <w:ind w:left="567" w:hanging="567"/>
      </w:pPr>
      <w:r>
        <w:lastRenderedPageBreak/>
        <w:t>appendix a</w:t>
      </w:r>
      <w:r w:rsidR="002039BB">
        <w:t xml:space="preserve"> – investment strateg</w:t>
      </w:r>
      <w:r w:rsidR="00985513">
        <w:t>Y</w:t>
      </w:r>
      <w:r w:rsidR="00CA4219">
        <w:t xml:space="preserve"> (</w:t>
      </w:r>
      <w:r w:rsidR="00681090">
        <w:t>14 March 2024</w:t>
      </w:r>
      <w:r w:rsidR="00CA4219">
        <w:t>)</w:t>
      </w:r>
    </w:p>
    <w:p w14:paraId="4D49EE02" w14:textId="44B199AB" w:rsidR="007D0011" w:rsidRDefault="007D0011" w:rsidP="0064293A">
      <w:pPr>
        <w:pStyle w:val="ListParagraph"/>
        <w:spacing w:before="0" w:after="0" w:line="240" w:lineRule="auto"/>
        <w:ind w:left="567" w:hanging="567"/>
        <w:jc w:val="both"/>
        <w:rPr>
          <w:rFonts w:ascii="Calibri" w:hAnsi="Calibri" w:cs="Arial"/>
        </w:rPr>
      </w:pPr>
    </w:p>
    <w:p w14:paraId="19688104" w14:textId="63C779B6" w:rsidR="00D87001" w:rsidRDefault="00D87001" w:rsidP="00D87001">
      <w:pPr>
        <w:pStyle w:val="ListParagraph"/>
        <w:spacing w:before="0" w:after="0" w:line="240" w:lineRule="auto"/>
        <w:ind w:left="360" w:hanging="360"/>
        <w:jc w:val="both"/>
        <w:rPr>
          <w:rFonts w:ascii="Calibri" w:hAnsi="Calibri" w:cs="Arial"/>
          <w:b/>
        </w:rPr>
      </w:pPr>
      <w:r>
        <w:rPr>
          <w:rFonts w:ascii="Calibri" w:hAnsi="Calibri" w:cs="Arial"/>
          <w:b/>
        </w:rPr>
        <w:t>FALKIRK COUNCIL PENSION</w:t>
      </w:r>
      <w:r w:rsidRPr="002039BB">
        <w:rPr>
          <w:rFonts w:ascii="Calibri" w:hAnsi="Calibri" w:cs="Arial"/>
          <w:b/>
        </w:rPr>
        <w:t xml:space="preserve"> FUND</w:t>
      </w:r>
      <w:r>
        <w:rPr>
          <w:rFonts w:ascii="Calibri" w:hAnsi="Calibri" w:cs="Arial"/>
          <w:b/>
        </w:rPr>
        <w:t xml:space="preserve">: INVESTMENT STRATEGY </w:t>
      </w:r>
    </w:p>
    <w:p w14:paraId="592A3CBC" w14:textId="77777777" w:rsidR="00D87001" w:rsidRDefault="00D87001" w:rsidP="00D87001">
      <w:pPr>
        <w:pStyle w:val="ListParagraph"/>
        <w:spacing w:before="0" w:after="0" w:line="240" w:lineRule="auto"/>
        <w:ind w:left="360" w:hanging="360"/>
        <w:jc w:val="both"/>
        <w:rPr>
          <w:rFonts w:ascii="Calibri" w:hAnsi="Calibri" w:cs="Arial"/>
          <w:b/>
        </w:rPr>
      </w:pPr>
    </w:p>
    <w:p w14:paraId="41261904" w14:textId="2A492BA0" w:rsidR="00B00700" w:rsidRDefault="00D87001" w:rsidP="00D87001">
      <w:pPr>
        <w:pStyle w:val="ListParagraph"/>
        <w:spacing w:before="0" w:after="0" w:line="240" w:lineRule="auto"/>
        <w:ind w:left="0"/>
        <w:jc w:val="both"/>
        <w:rPr>
          <w:rFonts w:ascii="Calibri" w:hAnsi="Calibri" w:cs="Arial"/>
        </w:rPr>
      </w:pPr>
      <w:r w:rsidRPr="00DF18F5">
        <w:rPr>
          <w:rFonts w:ascii="Calibri" w:hAnsi="Calibri" w:cs="Arial"/>
        </w:rPr>
        <w:t xml:space="preserve">Investment Objective: </w:t>
      </w:r>
      <w:r w:rsidR="0027727E" w:rsidRPr="00DF18F5">
        <w:rPr>
          <w:rFonts w:ascii="Calibri" w:hAnsi="Calibri" w:cs="Arial"/>
        </w:rPr>
        <w:t xml:space="preserve">to generate </w:t>
      </w:r>
      <w:r w:rsidR="009C6506" w:rsidRPr="00DF18F5">
        <w:rPr>
          <w:rFonts w:ascii="Calibri" w:hAnsi="Calibri" w:cs="Arial"/>
        </w:rPr>
        <w:t xml:space="preserve">returns </w:t>
      </w:r>
      <w:r w:rsidR="0027727E" w:rsidRPr="00DF18F5">
        <w:rPr>
          <w:rFonts w:ascii="Calibri" w:hAnsi="Calibri" w:cs="Arial"/>
        </w:rPr>
        <w:t>sufficient to pay pensions as they fall due.</w:t>
      </w:r>
    </w:p>
    <w:p w14:paraId="458CEE7A" w14:textId="5861A428" w:rsidR="00B00700" w:rsidRDefault="00B00700" w:rsidP="00D87001">
      <w:pPr>
        <w:pStyle w:val="ListParagraph"/>
        <w:spacing w:before="0" w:after="0" w:line="240" w:lineRule="auto"/>
        <w:ind w:left="0"/>
        <w:jc w:val="both"/>
        <w:rPr>
          <w:rFonts w:ascii="Calibri" w:hAnsi="Calibri" w:cs="Arial"/>
        </w:rPr>
      </w:pPr>
    </w:p>
    <w:p w14:paraId="2D2B35E3" w14:textId="2278320F" w:rsidR="001A3352" w:rsidRPr="0027727E" w:rsidRDefault="001A3352" w:rsidP="00D87001">
      <w:pPr>
        <w:pStyle w:val="ListParagraph"/>
        <w:spacing w:before="0" w:after="0" w:line="240" w:lineRule="auto"/>
        <w:ind w:left="0"/>
        <w:jc w:val="both"/>
        <w:rPr>
          <w:rFonts w:ascii="Calibri" w:hAnsi="Calibri" w:cs="Arial"/>
        </w:rPr>
      </w:pPr>
    </w:p>
    <w:tbl>
      <w:tblPr>
        <w:tblStyle w:val="TableGrid"/>
        <w:tblW w:w="0" w:type="auto"/>
        <w:tblLook w:val="04A0" w:firstRow="1" w:lastRow="0" w:firstColumn="1" w:lastColumn="0" w:noHBand="0" w:noVBand="1"/>
      </w:tblPr>
      <w:tblGrid>
        <w:gridCol w:w="1555"/>
        <w:gridCol w:w="2126"/>
        <w:gridCol w:w="1984"/>
      </w:tblGrid>
      <w:tr w:rsidR="001C12D9" w:rsidRPr="001C12D9" w14:paraId="7E50E521" w14:textId="77777777" w:rsidTr="001C12D9">
        <w:tc>
          <w:tcPr>
            <w:tcW w:w="1555" w:type="dxa"/>
            <w:shd w:val="solid" w:color="auto" w:fill="2C2C2C" w:themeFill="text1"/>
          </w:tcPr>
          <w:p w14:paraId="1CBCC1D1" w14:textId="503406A5" w:rsidR="001C12D9" w:rsidRPr="0024600E" w:rsidRDefault="001C12D9">
            <w:pPr>
              <w:rPr>
                <w:rFonts w:ascii="Calibri" w:hAnsi="Calibri"/>
                <w:color w:val="FFFFFF" w:themeColor="background1"/>
              </w:rPr>
            </w:pPr>
            <w:r w:rsidRPr="0024600E">
              <w:rPr>
                <w:rFonts w:ascii="Calibri" w:hAnsi="Calibri"/>
                <w:color w:val="FFFFFF" w:themeColor="background1"/>
              </w:rPr>
              <w:t>Policy Group</w:t>
            </w:r>
          </w:p>
        </w:tc>
        <w:tc>
          <w:tcPr>
            <w:tcW w:w="2126" w:type="dxa"/>
            <w:shd w:val="solid" w:color="auto" w:fill="2C2C2C" w:themeFill="text1"/>
          </w:tcPr>
          <w:p w14:paraId="6CDB8320" w14:textId="77777777" w:rsidR="001C12D9" w:rsidRPr="0024600E" w:rsidRDefault="001C12D9">
            <w:pPr>
              <w:rPr>
                <w:rFonts w:ascii="Calibri" w:hAnsi="Calibri"/>
                <w:color w:val="FFFFFF" w:themeColor="background1"/>
              </w:rPr>
            </w:pPr>
            <w:r w:rsidRPr="0024600E">
              <w:rPr>
                <w:rFonts w:ascii="Calibri" w:hAnsi="Calibri"/>
                <w:color w:val="FFFFFF" w:themeColor="background1"/>
              </w:rPr>
              <w:t>Current Strategy</w:t>
            </w:r>
          </w:p>
          <w:p w14:paraId="10643C2E" w14:textId="0905C7F6" w:rsidR="001C12D9" w:rsidRPr="0024600E" w:rsidRDefault="001C12D9">
            <w:pPr>
              <w:rPr>
                <w:rFonts w:ascii="Calibri" w:hAnsi="Calibri"/>
                <w:color w:val="FFFFFF" w:themeColor="background1"/>
              </w:rPr>
            </w:pPr>
            <w:r w:rsidRPr="0024600E">
              <w:rPr>
                <w:rFonts w:ascii="Calibri" w:hAnsi="Calibri"/>
                <w:color w:val="FFFFFF" w:themeColor="background1"/>
              </w:rPr>
              <w:t>(agreed March 2024)</w:t>
            </w:r>
          </w:p>
        </w:tc>
        <w:tc>
          <w:tcPr>
            <w:tcW w:w="1984" w:type="dxa"/>
            <w:shd w:val="solid" w:color="auto" w:fill="2C2C2C" w:themeFill="text1"/>
          </w:tcPr>
          <w:p w14:paraId="70656E99" w14:textId="5B8EB312" w:rsidR="001C12D9" w:rsidRPr="0024600E" w:rsidRDefault="001C12D9">
            <w:pPr>
              <w:rPr>
                <w:rFonts w:ascii="Calibri" w:hAnsi="Calibri"/>
                <w:color w:val="FFFFFF" w:themeColor="background1"/>
              </w:rPr>
            </w:pPr>
            <w:r w:rsidRPr="0024600E">
              <w:rPr>
                <w:rFonts w:ascii="Calibri" w:hAnsi="Calibri"/>
                <w:color w:val="FFFFFF" w:themeColor="background1"/>
              </w:rPr>
              <w:t>Permitted Range</w:t>
            </w:r>
          </w:p>
        </w:tc>
      </w:tr>
      <w:tr w:rsidR="001C12D9" w14:paraId="6A860EFE" w14:textId="77777777" w:rsidTr="0024600E">
        <w:tc>
          <w:tcPr>
            <w:tcW w:w="1555" w:type="dxa"/>
          </w:tcPr>
          <w:p w14:paraId="00732571" w14:textId="7B70C0CD" w:rsidR="001C12D9" w:rsidRDefault="001C12D9">
            <w:pPr>
              <w:rPr>
                <w:rFonts w:ascii="Calibri" w:hAnsi="Calibri"/>
              </w:rPr>
            </w:pPr>
            <w:r>
              <w:rPr>
                <w:rFonts w:ascii="Calibri" w:hAnsi="Calibri"/>
              </w:rPr>
              <w:t>Equities</w:t>
            </w:r>
          </w:p>
        </w:tc>
        <w:tc>
          <w:tcPr>
            <w:tcW w:w="2126" w:type="dxa"/>
          </w:tcPr>
          <w:p w14:paraId="5C701CAB" w14:textId="4E5F8AC1" w:rsidR="001C12D9" w:rsidRDefault="008E069E" w:rsidP="0024600E">
            <w:pPr>
              <w:jc w:val="center"/>
              <w:rPr>
                <w:rFonts w:ascii="Calibri" w:hAnsi="Calibri"/>
              </w:rPr>
            </w:pPr>
            <w:r>
              <w:rPr>
                <w:rFonts w:ascii="Calibri" w:hAnsi="Calibri"/>
              </w:rPr>
              <w:t>55%</w:t>
            </w:r>
          </w:p>
        </w:tc>
        <w:tc>
          <w:tcPr>
            <w:tcW w:w="1984" w:type="dxa"/>
          </w:tcPr>
          <w:p w14:paraId="5408A3F0" w14:textId="5F91C7AA" w:rsidR="001C12D9" w:rsidRDefault="008E069E" w:rsidP="0024600E">
            <w:pPr>
              <w:jc w:val="center"/>
              <w:rPr>
                <w:rFonts w:ascii="Calibri" w:hAnsi="Calibri"/>
              </w:rPr>
            </w:pPr>
            <w:r>
              <w:rPr>
                <w:rFonts w:ascii="Calibri" w:hAnsi="Calibri"/>
              </w:rPr>
              <w:t>45% - 65%</w:t>
            </w:r>
          </w:p>
        </w:tc>
      </w:tr>
      <w:tr w:rsidR="001C12D9" w14:paraId="01891D64" w14:textId="77777777" w:rsidTr="0024600E">
        <w:tc>
          <w:tcPr>
            <w:tcW w:w="1555" w:type="dxa"/>
          </w:tcPr>
          <w:p w14:paraId="44C42B07" w14:textId="4BD41AAB" w:rsidR="001C12D9" w:rsidRDefault="001C12D9">
            <w:pPr>
              <w:rPr>
                <w:rFonts w:ascii="Calibri" w:hAnsi="Calibri"/>
              </w:rPr>
            </w:pPr>
            <w:r>
              <w:rPr>
                <w:rFonts w:ascii="Calibri" w:hAnsi="Calibri"/>
              </w:rPr>
              <w:t>Real Assets</w:t>
            </w:r>
          </w:p>
        </w:tc>
        <w:tc>
          <w:tcPr>
            <w:tcW w:w="2126" w:type="dxa"/>
          </w:tcPr>
          <w:p w14:paraId="34B3732D" w14:textId="66E03C44" w:rsidR="001C12D9" w:rsidRDefault="008E069E" w:rsidP="0024600E">
            <w:pPr>
              <w:jc w:val="center"/>
              <w:rPr>
                <w:rFonts w:ascii="Calibri" w:hAnsi="Calibri"/>
              </w:rPr>
            </w:pPr>
            <w:r>
              <w:rPr>
                <w:rFonts w:ascii="Calibri" w:hAnsi="Calibri"/>
              </w:rPr>
              <w:t>20%</w:t>
            </w:r>
          </w:p>
        </w:tc>
        <w:tc>
          <w:tcPr>
            <w:tcW w:w="1984" w:type="dxa"/>
          </w:tcPr>
          <w:p w14:paraId="635651B3" w14:textId="272F848F" w:rsidR="001C12D9" w:rsidRDefault="008E069E" w:rsidP="0024600E">
            <w:pPr>
              <w:jc w:val="center"/>
              <w:rPr>
                <w:rFonts w:ascii="Calibri" w:hAnsi="Calibri"/>
              </w:rPr>
            </w:pPr>
            <w:r>
              <w:rPr>
                <w:rFonts w:ascii="Calibri" w:hAnsi="Calibri"/>
              </w:rPr>
              <w:t>10% - 30%</w:t>
            </w:r>
          </w:p>
        </w:tc>
      </w:tr>
      <w:tr w:rsidR="001C12D9" w14:paraId="7BD6CDBD" w14:textId="77777777" w:rsidTr="0024600E">
        <w:tc>
          <w:tcPr>
            <w:tcW w:w="1555" w:type="dxa"/>
          </w:tcPr>
          <w:p w14:paraId="7C0E6E78" w14:textId="75AAB80A" w:rsidR="001C12D9" w:rsidRDefault="001C12D9">
            <w:pPr>
              <w:rPr>
                <w:rFonts w:ascii="Calibri" w:hAnsi="Calibri"/>
              </w:rPr>
            </w:pPr>
            <w:r>
              <w:rPr>
                <w:rFonts w:ascii="Calibri" w:hAnsi="Calibri"/>
              </w:rPr>
              <w:t>Credit</w:t>
            </w:r>
          </w:p>
        </w:tc>
        <w:tc>
          <w:tcPr>
            <w:tcW w:w="2126" w:type="dxa"/>
          </w:tcPr>
          <w:p w14:paraId="50B0E030" w14:textId="45501E69" w:rsidR="001C12D9" w:rsidRDefault="008E069E" w:rsidP="0024600E">
            <w:pPr>
              <w:jc w:val="center"/>
              <w:rPr>
                <w:rFonts w:ascii="Calibri" w:hAnsi="Calibri"/>
              </w:rPr>
            </w:pPr>
            <w:r>
              <w:rPr>
                <w:rFonts w:ascii="Calibri" w:hAnsi="Calibri"/>
              </w:rPr>
              <w:t>8%</w:t>
            </w:r>
          </w:p>
        </w:tc>
        <w:tc>
          <w:tcPr>
            <w:tcW w:w="1984" w:type="dxa"/>
          </w:tcPr>
          <w:p w14:paraId="2C956F2D" w14:textId="363B2E3A" w:rsidR="001C12D9" w:rsidRDefault="008E069E" w:rsidP="0024600E">
            <w:pPr>
              <w:jc w:val="center"/>
              <w:rPr>
                <w:rFonts w:ascii="Calibri" w:hAnsi="Calibri"/>
              </w:rPr>
            </w:pPr>
            <w:r>
              <w:rPr>
                <w:rFonts w:ascii="Calibri" w:hAnsi="Calibri"/>
              </w:rPr>
              <w:t>0% - 20%</w:t>
            </w:r>
          </w:p>
        </w:tc>
      </w:tr>
      <w:tr w:rsidR="001C12D9" w14:paraId="722D79B7" w14:textId="77777777" w:rsidTr="0024600E">
        <w:tc>
          <w:tcPr>
            <w:tcW w:w="1555" w:type="dxa"/>
          </w:tcPr>
          <w:p w14:paraId="20467CE6" w14:textId="52ADBD4A" w:rsidR="001C12D9" w:rsidRDefault="001C12D9">
            <w:pPr>
              <w:rPr>
                <w:rFonts w:ascii="Calibri" w:hAnsi="Calibri"/>
              </w:rPr>
            </w:pPr>
            <w:r>
              <w:rPr>
                <w:rFonts w:ascii="Calibri" w:hAnsi="Calibri"/>
              </w:rPr>
              <w:t>Sovereigns</w:t>
            </w:r>
          </w:p>
        </w:tc>
        <w:tc>
          <w:tcPr>
            <w:tcW w:w="2126" w:type="dxa"/>
          </w:tcPr>
          <w:p w14:paraId="4B3238E8" w14:textId="50E8D1B0" w:rsidR="001C12D9" w:rsidRDefault="008E069E" w:rsidP="0024600E">
            <w:pPr>
              <w:jc w:val="center"/>
              <w:rPr>
                <w:rFonts w:ascii="Calibri" w:hAnsi="Calibri"/>
              </w:rPr>
            </w:pPr>
            <w:r>
              <w:rPr>
                <w:rFonts w:ascii="Calibri" w:hAnsi="Calibri"/>
              </w:rPr>
              <w:t>15%</w:t>
            </w:r>
          </w:p>
        </w:tc>
        <w:tc>
          <w:tcPr>
            <w:tcW w:w="1984" w:type="dxa"/>
          </w:tcPr>
          <w:p w14:paraId="60BDF359" w14:textId="01C83914" w:rsidR="001C12D9" w:rsidRDefault="008E069E" w:rsidP="0024600E">
            <w:pPr>
              <w:jc w:val="center"/>
              <w:rPr>
                <w:rFonts w:ascii="Calibri" w:hAnsi="Calibri"/>
              </w:rPr>
            </w:pPr>
            <w:r>
              <w:rPr>
                <w:rFonts w:ascii="Calibri" w:hAnsi="Calibri"/>
              </w:rPr>
              <w:t>5% - 25%</w:t>
            </w:r>
          </w:p>
        </w:tc>
      </w:tr>
      <w:tr w:rsidR="001C12D9" w14:paraId="43A12364" w14:textId="77777777" w:rsidTr="0024600E">
        <w:tc>
          <w:tcPr>
            <w:tcW w:w="1555" w:type="dxa"/>
            <w:tcBorders>
              <w:bottom w:val="single" w:sz="4" w:space="0" w:color="2C2C2C" w:themeColor="text1"/>
            </w:tcBorders>
          </w:tcPr>
          <w:p w14:paraId="24FA1D98" w14:textId="11693EB6" w:rsidR="001C12D9" w:rsidRDefault="001C12D9">
            <w:pPr>
              <w:rPr>
                <w:rFonts w:ascii="Calibri" w:hAnsi="Calibri"/>
              </w:rPr>
            </w:pPr>
            <w:r>
              <w:rPr>
                <w:rFonts w:ascii="Calibri" w:hAnsi="Calibri"/>
              </w:rPr>
              <w:t>Cash</w:t>
            </w:r>
          </w:p>
        </w:tc>
        <w:tc>
          <w:tcPr>
            <w:tcW w:w="2126" w:type="dxa"/>
            <w:tcBorders>
              <w:bottom w:val="single" w:sz="4" w:space="0" w:color="2C2C2C" w:themeColor="text1"/>
            </w:tcBorders>
          </w:tcPr>
          <w:p w14:paraId="2A4E15AE" w14:textId="533CFD4B" w:rsidR="001C12D9" w:rsidRDefault="008E069E" w:rsidP="0024600E">
            <w:pPr>
              <w:jc w:val="center"/>
              <w:rPr>
                <w:rFonts w:ascii="Calibri" w:hAnsi="Calibri"/>
              </w:rPr>
            </w:pPr>
            <w:r>
              <w:rPr>
                <w:rFonts w:ascii="Calibri" w:hAnsi="Calibri"/>
              </w:rPr>
              <w:t>2%</w:t>
            </w:r>
          </w:p>
        </w:tc>
        <w:tc>
          <w:tcPr>
            <w:tcW w:w="1984" w:type="dxa"/>
            <w:tcBorders>
              <w:bottom w:val="single" w:sz="4" w:space="0" w:color="2C2C2C" w:themeColor="text1"/>
            </w:tcBorders>
          </w:tcPr>
          <w:p w14:paraId="10A2764D" w14:textId="2D7C9051" w:rsidR="001C12D9" w:rsidRDefault="008E069E" w:rsidP="0024600E">
            <w:pPr>
              <w:jc w:val="center"/>
              <w:rPr>
                <w:rFonts w:ascii="Calibri" w:hAnsi="Calibri"/>
              </w:rPr>
            </w:pPr>
            <w:r>
              <w:rPr>
                <w:rFonts w:ascii="Calibri" w:hAnsi="Calibri"/>
              </w:rPr>
              <w:t>0% - 15%</w:t>
            </w:r>
          </w:p>
        </w:tc>
      </w:tr>
      <w:tr w:rsidR="008E069E" w:rsidRPr="008E069E" w14:paraId="328DD223" w14:textId="77777777" w:rsidTr="001C12D9">
        <w:tc>
          <w:tcPr>
            <w:tcW w:w="1555" w:type="dxa"/>
            <w:shd w:val="solid" w:color="auto" w:fill="auto"/>
          </w:tcPr>
          <w:p w14:paraId="502B6471" w14:textId="30D83E05" w:rsidR="001C12D9" w:rsidRPr="0024600E" w:rsidRDefault="001C12D9">
            <w:pPr>
              <w:rPr>
                <w:rFonts w:ascii="Calibri" w:hAnsi="Calibri"/>
                <w:color w:val="FFFFFF" w:themeColor="background1"/>
              </w:rPr>
            </w:pPr>
            <w:r w:rsidRPr="0024600E">
              <w:rPr>
                <w:rFonts w:ascii="Calibri" w:hAnsi="Calibri"/>
                <w:color w:val="FFFFFF" w:themeColor="background1"/>
              </w:rPr>
              <w:t>Total</w:t>
            </w:r>
          </w:p>
        </w:tc>
        <w:tc>
          <w:tcPr>
            <w:tcW w:w="2126" w:type="dxa"/>
            <w:shd w:val="solid" w:color="auto" w:fill="auto"/>
          </w:tcPr>
          <w:p w14:paraId="2BB93565" w14:textId="739B31ED" w:rsidR="001C12D9" w:rsidRPr="0024600E" w:rsidRDefault="008E069E" w:rsidP="0024600E">
            <w:pPr>
              <w:jc w:val="center"/>
              <w:rPr>
                <w:rFonts w:ascii="Calibri" w:hAnsi="Calibri"/>
                <w:color w:val="FFFFFF" w:themeColor="background1"/>
              </w:rPr>
            </w:pPr>
            <w:r>
              <w:rPr>
                <w:rFonts w:ascii="Calibri" w:hAnsi="Calibri"/>
                <w:color w:val="FFFFFF" w:themeColor="background1"/>
              </w:rPr>
              <w:t>100%</w:t>
            </w:r>
          </w:p>
        </w:tc>
        <w:tc>
          <w:tcPr>
            <w:tcW w:w="1984" w:type="dxa"/>
            <w:shd w:val="solid" w:color="auto" w:fill="auto"/>
          </w:tcPr>
          <w:p w14:paraId="7B421E35" w14:textId="79D502A1" w:rsidR="001C12D9" w:rsidRPr="0024600E" w:rsidRDefault="008E069E" w:rsidP="0024600E">
            <w:pPr>
              <w:jc w:val="center"/>
              <w:rPr>
                <w:rFonts w:ascii="Calibri" w:hAnsi="Calibri"/>
                <w:color w:val="FFFFFF" w:themeColor="background1"/>
              </w:rPr>
            </w:pPr>
            <w:r>
              <w:rPr>
                <w:rFonts w:ascii="Calibri" w:hAnsi="Calibri"/>
                <w:color w:val="FFFFFF" w:themeColor="background1"/>
              </w:rPr>
              <w:t>100%</w:t>
            </w:r>
          </w:p>
        </w:tc>
      </w:tr>
    </w:tbl>
    <w:p w14:paraId="6712759E" w14:textId="77777777" w:rsidR="002B321A" w:rsidRDefault="002B321A">
      <w:pPr>
        <w:rPr>
          <w:rFonts w:ascii="Calibri" w:hAnsi="Calibri"/>
        </w:rPr>
      </w:pPr>
    </w:p>
    <w:p w14:paraId="3B0004A9" w14:textId="77777777" w:rsidR="001C12D9" w:rsidRDefault="001C12D9">
      <w:pPr>
        <w:rPr>
          <w:rFonts w:ascii="Calibri" w:hAnsi="Calibri"/>
        </w:rPr>
      </w:pPr>
    </w:p>
    <w:p w14:paraId="4A372802" w14:textId="571C0EC6" w:rsidR="0013444D" w:rsidRPr="00FE6695" w:rsidRDefault="0013444D" w:rsidP="00481F3C">
      <w:pPr>
        <w:pStyle w:val="Heading1"/>
        <w:ind w:left="142" w:hanging="142"/>
      </w:pPr>
      <w:r>
        <w:t>appendix b: investment strategy implementation (</w:t>
      </w:r>
      <w:r w:rsidR="00681090">
        <w:t>14 March 2024</w:t>
      </w:r>
      <w:r>
        <w:t>)</w:t>
      </w:r>
    </w:p>
    <w:p w14:paraId="37416F69" w14:textId="15FC05C6" w:rsidR="00686EDE" w:rsidRDefault="0013444D" w:rsidP="00481F3C">
      <w:r>
        <w:rPr>
          <w:rFonts w:ascii="Calibri" w:hAnsi="Calibri"/>
        </w:rPr>
        <w:t xml:space="preserve">The </w:t>
      </w:r>
      <w:r w:rsidR="002B321A">
        <w:rPr>
          <w:rFonts w:ascii="Calibri" w:hAnsi="Calibri"/>
        </w:rPr>
        <w:t>investment strateg</w:t>
      </w:r>
      <w:r w:rsidR="00985513">
        <w:rPr>
          <w:rFonts w:ascii="Calibri" w:hAnsi="Calibri"/>
        </w:rPr>
        <w:t>y</w:t>
      </w:r>
      <w:r w:rsidR="002B321A">
        <w:rPr>
          <w:rFonts w:ascii="Calibri" w:hAnsi="Calibri"/>
        </w:rPr>
        <w:t xml:space="preserve"> </w:t>
      </w:r>
      <w:r>
        <w:rPr>
          <w:rFonts w:ascii="Calibri" w:hAnsi="Calibri"/>
        </w:rPr>
        <w:t xml:space="preserve">in Appendix A </w:t>
      </w:r>
      <w:r w:rsidR="00985513">
        <w:rPr>
          <w:rFonts w:ascii="Calibri" w:hAnsi="Calibri"/>
        </w:rPr>
        <w:t>is</w:t>
      </w:r>
      <w:r w:rsidR="002B321A">
        <w:rPr>
          <w:rFonts w:ascii="Calibri" w:hAnsi="Calibri"/>
        </w:rPr>
        <w:t xml:space="preserve"> implemented by investing in a range of mandates managed by external or </w:t>
      </w:r>
      <w:r w:rsidR="00985513">
        <w:rPr>
          <w:rFonts w:ascii="Calibri" w:hAnsi="Calibri"/>
        </w:rPr>
        <w:t xml:space="preserve">potentially </w:t>
      </w:r>
      <w:r w:rsidR="002B321A">
        <w:rPr>
          <w:rFonts w:ascii="Calibri" w:hAnsi="Calibri"/>
        </w:rPr>
        <w:t xml:space="preserve">internal investment managers.  </w:t>
      </w:r>
      <w:r>
        <w:rPr>
          <w:rFonts w:ascii="Calibri" w:hAnsi="Calibri"/>
        </w:rPr>
        <w:t>The current mandates and managers for the Fund are presented in the table below</w:t>
      </w:r>
      <w:r w:rsidR="005863E5">
        <w:rPr>
          <w:rFonts w:ascii="Calibri" w:hAnsi="Calibri"/>
        </w:rPr>
        <w:t>:</w:t>
      </w:r>
    </w:p>
    <w:tbl>
      <w:tblPr>
        <w:tblW w:w="7466" w:type="dxa"/>
        <w:tblLook w:val="04A0" w:firstRow="1" w:lastRow="0" w:firstColumn="1" w:lastColumn="0" w:noHBand="0" w:noVBand="1"/>
      </w:tblPr>
      <w:tblGrid>
        <w:gridCol w:w="1701"/>
        <w:gridCol w:w="3547"/>
        <w:gridCol w:w="2218"/>
      </w:tblGrid>
      <w:tr w:rsidR="00481F3C" w:rsidRPr="00481F3C" w14:paraId="27464822" w14:textId="77777777" w:rsidTr="00D15228">
        <w:trPr>
          <w:trHeight w:val="566"/>
        </w:trPr>
        <w:tc>
          <w:tcPr>
            <w:tcW w:w="1701" w:type="dxa"/>
            <w:tcBorders>
              <w:top w:val="nil"/>
              <w:left w:val="nil"/>
              <w:bottom w:val="nil"/>
              <w:right w:val="nil"/>
            </w:tcBorders>
            <w:shd w:val="clear" w:color="000000" w:fill="000000"/>
            <w:noWrap/>
            <w:vAlign w:val="center"/>
            <w:hideMark/>
          </w:tcPr>
          <w:p w14:paraId="0B4F7C9E" w14:textId="77777777" w:rsidR="00481F3C" w:rsidRPr="00481F3C" w:rsidRDefault="00481F3C" w:rsidP="00481F3C">
            <w:pPr>
              <w:spacing w:before="0" w:after="0" w:line="240" w:lineRule="auto"/>
              <w:rPr>
                <w:rFonts w:ascii="Calibri" w:eastAsia="Times New Roman" w:hAnsi="Calibri" w:cs="Calibri"/>
                <w:b/>
                <w:bCs/>
                <w:color w:val="FFFFFF"/>
                <w:lang w:eastAsia="en-GB"/>
              </w:rPr>
            </w:pPr>
            <w:r w:rsidRPr="00481F3C">
              <w:rPr>
                <w:rFonts w:ascii="Calibri" w:eastAsia="Times New Roman" w:hAnsi="Calibri" w:cs="Calibri"/>
                <w:b/>
                <w:bCs/>
                <w:color w:val="FFFFFF"/>
                <w:lang w:eastAsia="en-GB"/>
              </w:rPr>
              <w:t xml:space="preserve">Policy Group </w:t>
            </w:r>
          </w:p>
        </w:tc>
        <w:tc>
          <w:tcPr>
            <w:tcW w:w="3547" w:type="dxa"/>
            <w:tcBorders>
              <w:top w:val="nil"/>
              <w:left w:val="nil"/>
              <w:bottom w:val="nil"/>
              <w:right w:val="nil"/>
            </w:tcBorders>
            <w:shd w:val="clear" w:color="000000" w:fill="000000"/>
            <w:noWrap/>
            <w:vAlign w:val="center"/>
            <w:hideMark/>
          </w:tcPr>
          <w:p w14:paraId="036C7844" w14:textId="77777777" w:rsidR="00481F3C" w:rsidRPr="00481F3C" w:rsidRDefault="00481F3C" w:rsidP="00481F3C">
            <w:pPr>
              <w:spacing w:before="0" w:after="0" w:line="240" w:lineRule="auto"/>
              <w:rPr>
                <w:rFonts w:ascii="Calibri" w:eastAsia="Times New Roman" w:hAnsi="Calibri" w:cs="Calibri"/>
                <w:b/>
                <w:bCs/>
                <w:color w:val="FFFFFF"/>
                <w:lang w:eastAsia="en-GB"/>
              </w:rPr>
            </w:pPr>
            <w:r w:rsidRPr="00481F3C">
              <w:rPr>
                <w:rFonts w:ascii="Calibri" w:eastAsia="Times New Roman" w:hAnsi="Calibri" w:cs="Calibri"/>
                <w:b/>
                <w:bCs/>
                <w:color w:val="FFFFFF"/>
                <w:lang w:eastAsia="en-GB"/>
              </w:rPr>
              <w:t>Mandate</w:t>
            </w:r>
          </w:p>
        </w:tc>
        <w:tc>
          <w:tcPr>
            <w:tcW w:w="2218" w:type="dxa"/>
            <w:tcBorders>
              <w:top w:val="nil"/>
              <w:left w:val="nil"/>
              <w:bottom w:val="nil"/>
              <w:right w:val="nil"/>
            </w:tcBorders>
            <w:shd w:val="clear" w:color="000000" w:fill="000000"/>
            <w:noWrap/>
            <w:vAlign w:val="center"/>
            <w:hideMark/>
          </w:tcPr>
          <w:p w14:paraId="734E8B63" w14:textId="77777777" w:rsidR="00481F3C" w:rsidRPr="00481F3C" w:rsidRDefault="00481F3C" w:rsidP="00481F3C">
            <w:pPr>
              <w:spacing w:before="0" w:after="0" w:line="240" w:lineRule="auto"/>
              <w:rPr>
                <w:rFonts w:ascii="Calibri" w:eastAsia="Times New Roman" w:hAnsi="Calibri" w:cs="Calibri"/>
                <w:b/>
                <w:bCs/>
                <w:color w:val="FFFFFF"/>
                <w:lang w:eastAsia="en-GB"/>
              </w:rPr>
            </w:pPr>
            <w:r w:rsidRPr="00481F3C">
              <w:rPr>
                <w:rFonts w:ascii="Calibri" w:eastAsia="Times New Roman" w:hAnsi="Calibri" w:cs="Calibri"/>
                <w:b/>
                <w:bCs/>
                <w:color w:val="FFFFFF"/>
                <w:lang w:eastAsia="en-GB"/>
              </w:rPr>
              <w:t>Manager</w:t>
            </w:r>
          </w:p>
        </w:tc>
      </w:tr>
      <w:tr w:rsidR="00481F3C" w:rsidRPr="00481F3C" w14:paraId="41DE11CD" w14:textId="77777777" w:rsidTr="00D15228">
        <w:trPr>
          <w:trHeight w:val="372"/>
        </w:trPr>
        <w:tc>
          <w:tcPr>
            <w:tcW w:w="1701" w:type="dxa"/>
            <w:tcBorders>
              <w:top w:val="nil"/>
              <w:left w:val="nil"/>
              <w:bottom w:val="nil"/>
              <w:right w:val="nil"/>
            </w:tcBorders>
            <w:shd w:val="clear" w:color="000000" w:fill="D0CECE"/>
            <w:noWrap/>
            <w:vAlign w:val="center"/>
            <w:hideMark/>
          </w:tcPr>
          <w:p w14:paraId="4E49FADF"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Equities</w:t>
            </w:r>
          </w:p>
        </w:tc>
        <w:tc>
          <w:tcPr>
            <w:tcW w:w="3547" w:type="dxa"/>
            <w:tcBorders>
              <w:top w:val="nil"/>
              <w:left w:val="nil"/>
              <w:bottom w:val="nil"/>
              <w:right w:val="nil"/>
            </w:tcBorders>
            <w:shd w:val="clear" w:color="000000" w:fill="D0CECE"/>
            <w:noWrap/>
            <w:vAlign w:val="center"/>
            <w:hideMark/>
          </w:tcPr>
          <w:p w14:paraId="072A1189"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 </w:t>
            </w:r>
          </w:p>
        </w:tc>
        <w:tc>
          <w:tcPr>
            <w:tcW w:w="2218" w:type="dxa"/>
            <w:tcBorders>
              <w:top w:val="nil"/>
              <w:left w:val="nil"/>
              <w:bottom w:val="nil"/>
              <w:right w:val="nil"/>
            </w:tcBorders>
            <w:shd w:val="clear" w:color="000000" w:fill="D0CECE"/>
            <w:noWrap/>
            <w:vAlign w:val="center"/>
            <w:hideMark/>
          </w:tcPr>
          <w:p w14:paraId="73EF640C"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 xml:space="preserve">External </w:t>
            </w:r>
          </w:p>
        </w:tc>
      </w:tr>
      <w:tr w:rsidR="00481F3C" w:rsidRPr="00481F3C" w14:paraId="0C9F78B8" w14:textId="77777777" w:rsidTr="00D15228">
        <w:trPr>
          <w:trHeight w:val="298"/>
        </w:trPr>
        <w:tc>
          <w:tcPr>
            <w:tcW w:w="1701" w:type="dxa"/>
            <w:tcBorders>
              <w:top w:val="nil"/>
              <w:left w:val="nil"/>
              <w:bottom w:val="nil"/>
              <w:right w:val="nil"/>
            </w:tcBorders>
            <w:shd w:val="clear" w:color="auto" w:fill="auto"/>
            <w:noWrap/>
            <w:vAlign w:val="bottom"/>
            <w:hideMark/>
          </w:tcPr>
          <w:p w14:paraId="7F5DBF9C" w14:textId="77777777" w:rsidR="00481F3C" w:rsidRPr="00481F3C" w:rsidRDefault="00481F3C" w:rsidP="00481F3C">
            <w:pPr>
              <w:spacing w:before="0" w:after="0" w:line="240" w:lineRule="auto"/>
              <w:rPr>
                <w:rFonts w:ascii="Calibri" w:eastAsia="Times New Roman" w:hAnsi="Calibri" w:cs="Calibri"/>
                <w:b/>
                <w:bCs/>
                <w:color w:val="000000"/>
                <w:lang w:eastAsia="en-GB"/>
              </w:rPr>
            </w:pPr>
          </w:p>
        </w:tc>
        <w:tc>
          <w:tcPr>
            <w:tcW w:w="3547" w:type="dxa"/>
            <w:tcBorders>
              <w:top w:val="nil"/>
              <w:left w:val="nil"/>
              <w:bottom w:val="nil"/>
              <w:right w:val="nil"/>
            </w:tcBorders>
            <w:shd w:val="clear" w:color="auto" w:fill="auto"/>
            <w:noWrap/>
            <w:vAlign w:val="bottom"/>
            <w:hideMark/>
          </w:tcPr>
          <w:p w14:paraId="4A8CB137"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UK Value</w:t>
            </w:r>
          </w:p>
        </w:tc>
        <w:tc>
          <w:tcPr>
            <w:tcW w:w="2218" w:type="dxa"/>
            <w:tcBorders>
              <w:top w:val="nil"/>
              <w:left w:val="nil"/>
              <w:bottom w:val="nil"/>
              <w:right w:val="nil"/>
            </w:tcBorders>
            <w:shd w:val="clear" w:color="auto" w:fill="auto"/>
            <w:noWrap/>
            <w:vAlign w:val="bottom"/>
            <w:hideMark/>
          </w:tcPr>
          <w:p w14:paraId="12777A67"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Schroders</w:t>
            </w:r>
          </w:p>
        </w:tc>
      </w:tr>
      <w:tr w:rsidR="00481F3C" w:rsidRPr="00481F3C" w14:paraId="6FB5C879" w14:textId="77777777" w:rsidTr="00D15228">
        <w:trPr>
          <w:trHeight w:val="298"/>
        </w:trPr>
        <w:tc>
          <w:tcPr>
            <w:tcW w:w="1701" w:type="dxa"/>
            <w:tcBorders>
              <w:top w:val="nil"/>
              <w:left w:val="nil"/>
              <w:bottom w:val="nil"/>
              <w:right w:val="nil"/>
            </w:tcBorders>
            <w:shd w:val="clear" w:color="auto" w:fill="auto"/>
            <w:noWrap/>
            <w:vAlign w:val="bottom"/>
            <w:hideMark/>
          </w:tcPr>
          <w:p w14:paraId="5CE6E044"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20367E1A" w14:textId="6EBDB49E"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Global Thematic</w:t>
            </w:r>
          </w:p>
        </w:tc>
        <w:tc>
          <w:tcPr>
            <w:tcW w:w="2218" w:type="dxa"/>
            <w:tcBorders>
              <w:top w:val="nil"/>
              <w:left w:val="nil"/>
              <w:bottom w:val="nil"/>
              <w:right w:val="nil"/>
            </w:tcBorders>
            <w:shd w:val="clear" w:color="auto" w:fill="auto"/>
            <w:noWrap/>
            <w:vAlign w:val="bottom"/>
            <w:hideMark/>
          </w:tcPr>
          <w:p w14:paraId="65906669"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Newton</w:t>
            </w:r>
          </w:p>
        </w:tc>
      </w:tr>
      <w:tr w:rsidR="00481F3C" w:rsidRPr="00481F3C" w14:paraId="1059B207" w14:textId="77777777" w:rsidTr="00D15228">
        <w:trPr>
          <w:trHeight w:val="298"/>
        </w:trPr>
        <w:tc>
          <w:tcPr>
            <w:tcW w:w="1701" w:type="dxa"/>
            <w:tcBorders>
              <w:top w:val="nil"/>
              <w:left w:val="nil"/>
              <w:bottom w:val="nil"/>
              <w:right w:val="nil"/>
            </w:tcBorders>
            <w:shd w:val="clear" w:color="auto" w:fill="auto"/>
            <w:noWrap/>
            <w:vAlign w:val="bottom"/>
            <w:hideMark/>
          </w:tcPr>
          <w:p w14:paraId="2BD8AD3D"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327ACA90" w14:textId="373AA45F" w:rsidR="00481F3C" w:rsidRPr="00481F3C" w:rsidRDefault="00481F3C" w:rsidP="00481F3C">
            <w:pPr>
              <w:spacing w:before="0" w:after="0" w:line="240" w:lineRule="auto"/>
              <w:rPr>
                <w:rFonts w:ascii="Calibri" w:eastAsia="Times New Roman" w:hAnsi="Calibri" w:cs="Calibri"/>
                <w:color w:val="000000"/>
                <w:lang w:eastAsia="en-GB"/>
              </w:rPr>
            </w:pPr>
          </w:p>
        </w:tc>
        <w:tc>
          <w:tcPr>
            <w:tcW w:w="2218" w:type="dxa"/>
            <w:tcBorders>
              <w:top w:val="nil"/>
              <w:left w:val="nil"/>
              <w:bottom w:val="nil"/>
              <w:right w:val="nil"/>
            </w:tcBorders>
            <w:shd w:val="clear" w:color="auto" w:fill="auto"/>
            <w:noWrap/>
            <w:vAlign w:val="bottom"/>
            <w:hideMark/>
          </w:tcPr>
          <w:p w14:paraId="2BB9C224" w14:textId="4DCB5837" w:rsidR="00481F3C" w:rsidRPr="00481F3C" w:rsidRDefault="00481F3C" w:rsidP="00481F3C">
            <w:pPr>
              <w:spacing w:before="0" w:after="0" w:line="240" w:lineRule="auto"/>
              <w:rPr>
                <w:rFonts w:ascii="Calibri" w:eastAsia="Times New Roman" w:hAnsi="Calibri" w:cs="Calibri"/>
                <w:color w:val="000000"/>
                <w:lang w:eastAsia="en-GB"/>
              </w:rPr>
            </w:pPr>
          </w:p>
        </w:tc>
      </w:tr>
      <w:tr w:rsidR="00481F3C" w:rsidRPr="00481F3C" w14:paraId="4C0D6D9B" w14:textId="77777777" w:rsidTr="00D15228">
        <w:trPr>
          <w:trHeight w:val="298"/>
        </w:trPr>
        <w:tc>
          <w:tcPr>
            <w:tcW w:w="1701" w:type="dxa"/>
            <w:tcBorders>
              <w:top w:val="nil"/>
              <w:left w:val="nil"/>
              <w:bottom w:val="nil"/>
              <w:right w:val="nil"/>
            </w:tcBorders>
            <w:shd w:val="clear" w:color="auto" w:fill="auto"/>
            <w:noWrap/>
            <w:vAlign w:val="bottom"/>
            <w:hideMark/>
          </w:tcPr>
          <w:p w14:paraId="5C0F6CF1"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56D32E72"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Global Passive</w:t>
            </w:r>
          </w:p>
        </w:tc>
        <w:tc>
          <w:tcPr>
            <w:tcW w:w="2218" w:type="dxa"/>
            <w:tcBorders>
              <w:top w:val="nil"/>
              <w:left w:val="nil"/>
              <w:bottom w:val="nil"/>
              <w:right w:val="nil"/>
            </w:tcBorders>
            <w:shd w:val="clear" w:color="auto" w:fill="auto"/>
            <w:noWrap/>
            <w:vAlign w:val="bottom"/>
            <w:hideMark/>
          </w:tcPr>
          <w:p w14:paraId="7EA99D88"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 xml:space="preserve">Legal and General </w:t>
            </w:r>
          </w:p>
        </w:tc>
      </w:tr>
      <w:tr w:rsidR="00481F3C" w:rsidRPr="00481F3C" w14:paraId="6B1B1304" w14:textId="77777777" w:rsidTr="00D15228">
        <w:trPr>
          <w:trHeight w:val="298"/>
        </w:trPr>
        <w:tc>
          <w:tcPr>
            <w:tcW w:w="1701" w:type="dxa"/>
            <w:tcBorders>
              <w:top w:val="nil"/>
              <w:left w:val="nil"/>
              <w:bottom w:val="nil"/>
              <w:right w:val="nil"/>
            </w:tcBorders>
            <w:shd w:val="clear" w:color="auto" w:fill="auto"/>
            <w:noWrap/>
            <w:vAlign w:val="bottom"/>
            <w:hideMark/>
          </w:tcPr>
          <w:p w14:paraId="3A32AF3F"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4579D8DB" w14:textId="6E50258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 xml:space="preserve">Global Fundamental </w:t>
            </w:r>
            <w:r w:rsidR="00D15228">
              <w:rPr>
                <w:rFonts w:ascii="Calibri" w:eastAsia="Times New Roman" w:hAnsi="Calibri" w:cs="Calibri"/>
                <w:color w:val="000000"/>
                <w:lang w:eastAsia="en-GB"/>
              </w:rPr>
              <w:t>Indexation</w:t>
            </w:r>
          </w:p>
        </w:tc>
        <w:tc>
          <w:tcPr>
            <w:tcW w:w="2218" w:type="dxa"/>
            <w:tcBorders>
              <w:top w:val="nil"/>
              <w:left w:val="nil"/>
              <w:bottom w:val="nil"/>
              <w:right w:val="nil"/>
            </w:tcBorders>
            <w:shd w:val="clear" w:color="auto" w:fill="auto"/>
            <w:noWrap/>
            <w:vAlign w:val="bottom"/>
            <w:hideMark/>
          </w:tcPr>
          <w:p w14:paraId="6E8122A5"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 xml:space="preserve">Legal and General </w:t>
            </w:r>
          </w:p>
        </w:tc>
      </w:tr>
      <w:tr w:rsidR="00D15228" w:rsidRPr="00481F3C" w14:paraId="6C3B59DF" w14:textId="77777777" w:rsidTr="00D15228">
        <w:trPr>
          <w:trHeight w:val="298"/>
        </w:trPr>
        <w:tc>
          <w:tcPr>
            <w:tcW w:w="1701" w:type="dxa"/>
            <w:tcBorders>
              <w:top w:val="nil"/>
              <w:left w:val="nil"/>
              <w:bottom w:val="nil"/>
              <w:right w:val="nil"/>
            </w:tcBorders>
            <w:shd w:val="clear" w:color="auto" w:fill="auto"/>
            <w:noWrap/>
            <w:vAlign w:val="bottom"/>
          </w:tcPr>
          <w:p w14:paraId="71307D86" w14:textId="77777777" w:rsidR="00D15228" w:rsidRPr="00481F3C" w:rsidRDefault="00D15228"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tcPr>
          <w:p w14:paraId="6C4C5F4F" w14:textId="116E9F9F" w:rsidR="00D15228" w:rsidRPr="00481F3C" w:rsidRDefault="00D15228"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Global Low Volatility</w:t>
            </w:r>
          </w:p>
        </w:tc>
        <w:tc>
          <w:tcPr>
            <w:tcW w:w="2218" w:type="dxa"/>
            <w:tcBorders>
              <w:top w:val="nil"/>
              <w:left w:val="nil"/>
              <w:bottom w:val="nil"/>
              <w:right w:val="nil"/>
            </w:tcBorders>
            <w:shd w:val="clear" w:color="auto" w:fill="auto"/>
            <w:noWrap/>
            <w:vAlign w:val="bottom"/>
          </w:tcPr>
          <w:p w14:paraId="48F14D9D" w14:textId="199C668A" w:rsidR="00D15228" w:rsidRPr="00481F3C" w:rsidRDefault="00752ABC"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LPFI</w:t>
            </w:r>
          </w:p>
        </w:tc>
      </w:tr>
      <w:tr w:rsidR="00D15228" w:rsidRPr="00481F3C" w14:paraId="47947BF7" w14:textId="77777777" w:rsidTr="00D15228">
        <w:trPr>
          <w:trHeight w:val="298"/>
        </w:trPr>
        <w:tc>
          <w:tcPr>
            <w:tcW w:w="1701" w:type="dxa"/>
            <w:tcBorders>
              <w:top w:val="nil"/>
              <w:left w:val="nil"/>
              <w:bottom w:val="nil"/>
              <w:right w:val="nil"/>
            </w:tcBorders>
            <w:shd w:val="clear" w:color="auto" w:fill="auto"/>
            <w:noWrap/>
            <w:vAlign w:val="bottom"/>
          </w:tcPr>
          <w:p w14:paraId="5D06B619" w14:textId="77777777" w:rsidR="00D15228" w:rsidRPr="00481F3C" w:rsidRDefault="00D15228"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tcPr>
          <w:p w14:paraId="6584B2F3" w14:textId="1D290441" w:rsidR="00D15228" w:rsidRPr="00481F3C" w:rsidRDefault="00D15228"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Global Environmental Opportunities</w:t>
            </w:r>
          </w:p>
        </w:tc>
        <w:tc>
          <w:tcPr>
            <w:tcW w:w="2218" w:type="dxa"/>
            <w:tcBorders>
              <w:top w:val="nil"/>
              <w:left w:val="nil"/>
              <w:bottom w:val="nil"/>
              <w:right w:val="nil"/>
            </w:tcBorders>
            <w:shd w:val="clear" w:color="auto" w:fill="auto"/>
            <w:noWrap/>
            <w:vAlign w:val="bottom"/>
          </w:tcPr>
          <w:p w14:paraId="2ED1F443" w14:textId="0A430C26" w:rsidR="00D15228" w:rsidRPr="00481F3C" w:rsidRDefault="00D15228" w:rsidP="00481F3C">
            <w:pPr>
              <w:spacing w:before="0"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Pictet</w:t>
            </w:r>
            <w:proofErr w:type="spellEnd"/>
          </w:p>
        </w:tc>
      </w:tr>
      <w:tr w:rsidR="00481F3C" w:rsidRPr="00481F3C" w14:paraId="10846F44" w14:textId="77777777" w:rsidTr="00D15228">
        <w:trPr>
          <w:trHeight w:val="298"/>
        </w:trPr>
        <w:tc>
          <w:tcPr>
            <w:tcW w:w="1701" w:type="dxa"/>
            <w:tcBorders>
              <w:top w:val="nil"/>
              <w:left w:val="nil"/>
              <w:bottom w:val="nil"/>
              <w:right w:val="nil"/>
            </w:tcBorders>
            <w:shd w:val="clear" w:color="auto" w:fill="auto"/>
            <w:noWrap/>
            <w:vAlign w:val="bottom"/>
            <w:hideMark/>
          </w:tcPr>
          <w:p w14:paraId="08B5830F"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7D5DEB2B" w14:textId="77777777" w:rsid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Private Equity</w:t>
            </w:r>
          </w:p>
          <w:p w14:paraId="36717AA4" w14:textId="02DD42F2" w:rsidR="00D15228" w:rsidRPr="00481F3C" w:rsidRDefault="00D15228" w:rsidP="00481F3C">
            <w:pPr>
              <w:spacing w:before="0" w:after="0" w:line="240" w:lineRule="auto"/>
              <w:rPr>
                <w:rFonts w:ascii="Calibri" w:eastAsia="Times New Roman" w:hAnsi="Calibri" w:cs="Calibri"/>
                <w:color w:val="000000"/>
                <w:lang w:eastAsia="en-GB"/>
              </w:rPr>
            </w:pPr>
          </w:p>
        </w:tc>
        <w:tc>
          <w:tcPr>
            <w:tcW w:w="2218" w:type="dxa"/>
            <w:tcBorders>
              <w:top w:val="nil"/>
              <w:left w:val="nil"/>
              <w:bottom w:val="nil"/>
              <w:right w:val="nil"/>
            </w:tcBorders>
            <w:shd w:val="clear" w:color="auto" w:fill="auto"/>
            <w:noWrap/>
            <w:vAlign w:val="bottom"/>
            <w:hideMark/>
          </w:tcPr>
          <w:p w14:paraId="3A7AB527" w14:textId="1A8A6F98" w:rsidR="00481F3C" w:rsidRPr="00481F3C" w:rsidRDefault="002A25D4" w:rsidP="002A25D4">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Wilshire/SL Capital</w:t>
            </w:r>
          </w:p>
        </w:tc>
      </w:tr>
      <w:tr w:rsidR="00481F3C" w:rsidRPr="00481F3C" w14:paraId="09F0C6AA" w14:textId="77777777" w:rsidTr="00D15228">
        <w:trPr>
          <w:trHeight w:val="372"/>
        </w:trPr>
        <w:tc>
          <w:tcPr>
            <w:tcW w:w="1701" w:type="dxa"/>
            <w:tcBorders>
              <w:top w:val="nil"/>
              <w:left w:val="nil"/>
              <w:bottom w:val="nil"/>
              <w:right w:val="nil"/>
            </w:tcBorders>
            <w:shd w:val="clear" w:color="000000" w:fill="D0CECE"/>
            <w:noWrap/>
            <w:vAlign w:val="center"/>
            <w:hideMark/>
          </w:tcPr>
          <w:p w14:paraId="75D2D488"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Gilts</w:t>
            </w:r>
          </w:p>
        </w:tc>
        <w:tc>
          <w:tcPr>
            <w:tcW w:w="3547" w:type="dxa"/>
            <w:tcBorders>
              <w:top w:val="nil"/>
              <w:left w:val="nil"/>
              <w:bottom w:val="nil"/>
              <w:right w:val="nil"/>
            </w:tcBorders>
            <w:shd w:val="clear" w:color="000000" w:fill="D0CECE"/>
            <w:noWrap/>
            <w:vAlign w:val="center"/>
            <w:hideMark/>
          </w:tcPr>
          <w:p w14:paraId="34305BB8"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 </w:t>
            </w:r>
          </w:p>
        </w:tc>
        <w:tc>
          <w:tcPr>
            <w:tcW w:w="2218" w:type="dxa"/>
            <w:tcBorders>
              <w:top w:val="nil"/>
              <w:left w:val="nil"/>
              <w:bottom w:val="nil"/>
              <w:right w:val="nil"/>
            </w:tcBorders>
            <w:shd w:val="clear" w:color="000000" w:fill="D0CECE"/>
            <w:noWrap/>
            <w:vAlign w:val="center"/>
            <w:hideMark/>
          </w:tcPr>
          <w:p w14:paraId="3E3B747D" w14:textId="6B744A0E" w:rsidR="00481F3C" w:rsidRPr="00481F3C" w:rsidRDefault="00950F47" w:rsidP="00481F3C">
            <w:pPr>
              <w:spacing w:before="0"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Internal </w:t>
            </w:r>
          </w:p>
        </w:tc>
      </w:tr>
      <w:tr w:rsidR="00481F3C" w:rsidRPr="00481F3C" w14:paraId="02DAE314" w14:textId="77777777" w:rsidTr="00D15228">
        <w:trPr>
          <w:trHeight w:val="298"/>
        </w:trPr>
        <w:tc>
          <w:tcPr>
            <w:tcW w:w="1701" w:type="dxa"/>
            <w:tcBorders>
              <w:top w:val="nil"/>
              <w:left w:val="nil"/>
              <w:bottom w:val="nil"/>
              <w:right w:val="nil"/>
            </w:tcBorders>
            <w:shd w:val="clear" w:color="auto" w:fill="auto"/>
            <w:noWrap/>
            <w:vAlign w:val="bottom"/>
            <w:hideMark/>
          </w:tcPr>
          <w:p w14:paraId="750226C5" w14:textId="77777777" w:rsidR="00481F3C" w:rsidRPr="00481F3C" w:rsidRDefault="00481F3C" w:rsidP="00481F3C">
            <w:pPr>
              <w:spacing w:before="0" w:after="0" w:line="240" w:lineRule="auto"/>
              <w:rPr>
                <w:rFonts w:ascii="Calibri" w:eastAsia="Times New Roman" w:hAnsi="Calibri" w:cs="Calibri"/>
                <w:b/>
                <w:bCs/>
                <w:color w:val="000000"/>
                <w:lang w:eastAsia="en-GB"/>
              </w:rPr>
            </w:pPr>
          </w:p>
        </w:tc>
        <w:tc>
          <w:tcPr>
            <w:tcW w:w="3547" w:type="dxa"/>
            <w:tcBorders>
              <w:top w:val="nil"/>
              <w:left w:val="nil"/>
              <w:bottom w:val="nil"/>
              <w:right w:val="nil"/>
            </w:tcBorders>
            <w:shd w:val="clear" w:color="auto" w:fill="auto"/>
            <w:noWrap/>
            <w:vAlign w:val="bottom"/>
            <w:hideMark/>
          </w:tcPr>
          <w:p w14:paraId="6E964A8D"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Gilts</w:t>
            </w:r>
          </w:p>
        </w:tc>
        <w:tc>
          <w:tcPr>
            <w:tcW w:w="2218" w:type="dxa"/>
            <w:tcBorders>
              <w:top w:val="nil"/>
              <w:left w:val="nil"/>
              <w:bottom w:val="nil"/>
              <w:right w:val="nil"/>
            </w:tcBorders>
            <w:shd w:val="clear" w:color="auto" w:fill="auto"/>
            <w:noWrap/>
            <w:vAlign w:val="bottom"/>
            <w:hideMark/>
          </w:tcPr>
          <w:p w14:paraId="16B6EE26" w14:textId="14E7F482" w:rsidR="00481F3C" w:rsidRPr="00481F3C" w:rsidRDefault="00C408AB"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LPFI</w:t>
            </w:r>
          </w:p>
        </w:tc>
      </w:tr>
      <w:tr w:rsidR="00481F3C" w:rsidRPr="00481F3C" w14:paraId="0505433B" w14:textId="77777777" w:rsidTr="00D15228">
        <w:trPr>
          <w:trHeight w:val="372"/>
        </w:trPr>
        <w:tc>
          <w:tcPr>
            <w:tcW w:w="1701" w:type="dxa"/>
            <w:tcBorders>
              <w:top w:val="nil"/>
              <w:left w:val="nil"/>
              <w:bottom w:val="nil"/>
              <w:right w:val="nil"/>
            </w:tcBorders>
            <w:shd w:val="clear" w:color="000000" w:fill="D0CECE"/>
            <w:noWrap/>
            <w:vAlign w:val="center"/>
            <w:hideMark/>
          </w:tcPr>
          <w:p w14:paraId="22461D61" w14:textId="77777777" w:rsidR="00481F3C" w:rsidRPr="00481F3C" w:rsidRDefault="00481F3C" w:rsidP="00481F3C">
            <w:pPr>
              <w:spacing w:before="0" w:after="0" w:line="240" w:lineRule="auto"/>
              <w:rPr>
                <w:rFonts w:ascii="Calibri" w:eastAsia="Times New Roman" w:hAnsi="Calibri" w:cs="Calibri"/>
                <w:b/>
                <w:bCs/>
                <w:color w:val="000000"/>
                <w:lang w:eastAsia="en-GB"/>
              </w:rPr>
            </w:pPr>
            <w:proofErr w:type="gramStart"/>
            <w:r w:rsidRPr="00481F3C">
              <w:rPr>
                <w:rFonts w:ascii="Calibri" w:eastAsia="Times New Roman" w:hAnsi="Calibri" w:cs="Calibri"/>
                <w:b/>
                <w:bCs/>
                <w:color w:val="000000"/>
                <w:lang w:eastAsia="en-GB"/>
              </w:rPr>
              <w:t>Non Gilt</w:t>
            </w:r>
            <w:proofErr w:type="gramEnd"/>
            <w:r w:rsidRPr="00481F3C">
              <w:rPr>
                <w:rFonts w:ascii="Calibri" w:eastAsia="Times New Roman" w:hAnsi="Calibri" w:cs="Calibri"/>
                <w:b/>
                <w:bCs/>
                <w:color w:val="000000"/>
                <w:lang w:eastAsia="en-GB"/>
              </w:rPr>
              <w:t xml:space="preserve"> Debt</w:t>
            </w:r>
          </w:p>
        </w:tc>
        <w:tc>
          <w:tcPr>
            <w:tcW w:w="3547" w:type="dxa"/>
            <w:tcBorders>
              <w:top w:val="nil"/>
              <w:left w:val="nil"/>
              <w:bottom w:val="nil"/>
              <w:right w:val="nil"/>
            </w:tcBorders>
            <w:shd w:val="clear" w:color="000000" w:fill="D0CECE"/>
            <w:noWrap/>
            <w:vAlign w:val="center"/>
            <w:hideMark/>
          </w:tcPr>
          <w:p w14:paraId="76E1E509"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 </w:t>
            </w:r>
          </w:p>
        </w:tc>
        <w:tc>
          <w:tcPr>
            <w:tcW w:w="2218" w:type="dxa"/>
            <w:tcBorders>
              <w:top w:val="nil"/>
              <w:left w:val="nil"/>
              <w:bottom w:val="nil"/>
              <w:right w:val="nil"/>
            </w:tcBorders>
            <w:shd w:val="clear" w:color="000000" w:fill="D0CECE"/>
            <w:noWrap/>
            <w:vAlign w:val="center"/>
            <w:hideMark/>
          </w:tcPr>
          <w:p w14:paraId="531C7019" w14:textId="11B354F0" w:rsidR="00481F3C" w:rsidRPr="00481F3C" w:rsidRDefault="00950F47" w:rsidP="00481F3C">
            <w:pPr>
              <w:spacing w:before="0"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Internal and </w:t>
            </w:r>
            <w:r w:rsidR="00481F3C" w:rsidRPr="00481F3C">
              <w:rPr>
                <w:rFonts w:ascii="Calibri" w:eastAsia="Times New Roman" w:hAnsi="Calibri" w:cs="Calibri"/>
                <w:b/>
                <w:bCs/>
                <w:color w:val="000000"/>
                <w:lang w:eastAsia="en-GB"/>
              </w:rPr>
              <w:t xml:space="preserve">External </w:t>
            </w:r>
          </w:p>
        </w:tc>
      </w:tr>
      <w:tr w:rsidR="00481F3C" w:rsidRPr="00481F3C" w14:paraId="15BBDB54" w14:textId="77777777" w:rsidTr="00D15228">
        <w:trPr>
          <w:trHeight w:val="298"/>
        </w:trPr>
        <w:tc>
          <w:tcPr>
            <w:tcW w:w="1701" w:type="dxa"/>
            <w:tcBorders>
              <w:top w:val="nil"/>
              <w:left w:val="nil"/>
              <w:bottom w:val="nil"/>
              <w:right w:val="nil"/>
            </w:tcBorders>
            <w:shd w:val="clear" w:color="auto" w:fill="auto"/>
            <w:noWrap/>
            <w:vAlign w:val="bottom"/>
            <w:hideMark/>
          </w:tcPr>
          <w:p w14:paraId="35F0E13C" w14:textId="77777777" w:rsidR="00481F3C" w:rsidRPr="00481F3C" w:rsidRDefault="00481F3C" w:rsidP="00481F3C">
            <w:pPr>
              <w:spacing w:before="0" w:after="0" w:line="240" w:lineRule="auto"/>
              <w:rPr>
                <w:rFonts w:ascii="Calibri" w:eastAsia="Times New Roman" w:hAnsi="Calibri" w:cs="Calibri"/>
                <w:b/>
                <w:bCs/>
                <w:color w:val="000000"/>
                <w:lang w:eastAsia="en-GB"/>
              </w:rPr>
            </w:pPr>
          </w:p>
        </w:tc>
        <w:tc>
          <w:tcPr>
            <w:tcW w:w="3547" w:type="dxa"/>
            <w:tcBorders>
              <w:top w:val="nil"/>
              <w:left w:val="nil"/>
              <w:bottom w:val="nil"/>
              <w:right w:val="nil"/>
            </w:tcBorders>
            <w:shd w:val="clear" w:color="auto" w:fill="auto"/>
            <w:noWrap/>
            <w:vAlign w:val="bottom"/>
            <w:hideMark/>
          </w:tcPr>
          <w:p w14:paraId="74FD9A7A" w14:textId="77777777" w:rsidR="00481F3C" w:rsidRPr="00481F3C" w:rsidRDefault="00481F3C" w:rsidP="00481F3C">
            <w:pPr>
              <w:spacing w:before="0" w:after="0" w:line="240" w:lineRule="auto"/>
              <w:rPr>
                <w:rFonts w:ascii="Calibri" w:eastAsia="Times New Roman" w:hAnsi="Calibri" w:cs="Calibri"/>
                <w:color w:val="000000"/>
                <w:lang w:eastAsia="en-GB"/>
              </w:rPr>
            </w:pPr>
            <w:proofErr w:type="gramStart"/>
            <w:r w:rsidRPr="00481F3C">
              <w:rPr>
                <w:rFonts w:ascii="Calibri" w:eastAsia="Times New Roman" w:hAnsi="Calibri" w:cs="Calibri"/>
                <w:color w:val="000000"/>
                <w:lang w:eastAsia="en-GB"/>
              </w:rPr>
              <w:t>Non Gilt</w:t>
            </w:r>
            <w:proofErr w:type="gramEnd"/>
            <w:r w:rsidRPr="00481F3C">
              <w:rPr>
                <w:rFonts w:ascii="Calibri" w:eastAsia="Times New Roman" w:hAnsi="Calibri" w:cs="Calibri"/>
                <w:color w:val="000000"/>
                <w:lang w:eastAsia="en-GB"/>
              </w:rPr>
              <w:t xml:space="preserve"> Bonds</w:t>
            </w:r>
          </w:p>
        </w:tc>
        <w:tc>
          <w:tcPr>
            <w:tcW w:w="2218" w:type="dxa"/>
            <w:tcBorders>
              <w:top w:val="nil"/>
              <w:left w:val="nil"/>
              <w:bottom w:val="nil"/>
              <w:right w:val="nil"/>
            </w:tcBorders>
            <w:shd w:val="clear" w:color="auto" w:fill="auto"/>
            <w:noWrap/>
            <w:vAlign w:val="bottom"/>
            <w:hideMark/>
          </w:tcPr>
          <w:p w14:paraId="401C38CD"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Baillie Gifford</w:t>
            </w:r>
          </w:p>
        </w:tc>
      </w:tr>
      <w:tr w:rsidR="00950F47" w:rsidRPr="00481F3C" w14:paraId="1FFFA066" w14:textId="77777777" w:rsidTr="00D15228">
        <w:trPr>
          <w:trHeight w:val="298"/>
        </w:trPr>
        <w:tc>
          <w:tcPr>
            <w:tcW w:w="1701" w:type="dxa"/>
            <w:tcBorders>
              <w:top w:val="nil"/>
              <w:left w:val="nil"/>
              <w:bottom w:val="nil"/>
              <w:right w:val="nil"/>
            </w:tcBorders>
            <w:shd w:val="clear" w:color="auto" w:fill="auto"/>
            <w:noWrap/>
            <w:vAlign w:val="bottom"/>
          </w:tcPr>
          <w:p w14:paraId="16F73B78" w14:textId="77777777" w:rsidR="00950F47" w:rsidRPr="00481F3C" w:rsidRDefault="00950F47" w:rsidP="00481F3C">
            <w:pPr>
              <w:spacing w:before="0" w:after="0" w:line="240" w:lineRule="auto"/>
              <w:rPr>
                <w:rFonts w:ascii="Calibri" w:eastAsia="Times New Roman" w:hAnsi="Calibri" w:cs="Calibri"/>
                <w:b/>
                <w:bCs/>
                <w:color w:val="000000"/>
                <w:lang w:eastAsia="en-GB"/>
              </w:rPr>
            </w:pPr>
          </w:p>
        </w:tc>
        <w:tc>
          <w:tcPr>
            <w:tcW w:w="3547" w:type="dxa"/>
            <w:tcBorders>
              <w:top w:val="nil"/>
              <w:left w:val="nil"/>
              <w:bottom w:val="nil"/>
              <w:right w:val="nil"/>
            </w:tcBorders>
            <w:shd w:val="clear" w:color="auto" w:fill="auto"/>
            <w:noWrap/>
            <w:vAlign w:val="bottom"/>
          </w:tcPr>
          <w:p w14:paraId="6E808843" w14:textId="77777777" w:rsidR="00950F47" w:rsidRDefault="00950F47"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Corporate</w:t>
            </w:r>
            <w:r w:rsidRPr="00481F3C">
              <w:rPr>
                <w:rFonts w:ascii="Calibri" w:eastAsia="Times New Roman" w:hAnsi="Calibri" w:cs="Calibri"/>
                <w:color w:val="000000"/>
                <w:lang w:eastAsia="en-GB"/>
              </w:rPr>
              <w:t xml:space="preserve"> Bonds</w:t>
            </w:r>
          </w:p>
          <w:p w14:paraId="25B11BC0" w14:textId="1738CAD6" w:rsidR="00C408AB" w:rsidRPr="00481F3C" w:rsidRDefault="00C408AB"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US Treasury Bonds</w:t>
            </w:r>
          </w:p>
        </w:tc>
        <w:tc>
          <w:tcPr>
            <w:tcW w:w="2218" w:type="dxa"/>
            <w:tcBorders>
              <w:top w:val="nil"/>
              <w:left w:val="nil"/>
              <w:bottom w:val="nil"/>
              <w:right w:val="nil"/>
            </w:tcBorders>
            <w:shd w:val="clear" w:color="auto" w:fill="auto"/>
            <w:noWrap/>
            <w:vAlign w:val="bottom"/>
          </w:tcPr>
          <w:p w14:paraId="49F7FD78" w14:textId="77777777" w:rsidR="00950F47" w:rsidRDefault="00950F47"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Legal and General</w:t>
            </w:r>
          </w:p>
          <w:p w14:paraId="16824E39" w14:textId="609F3F99" w:rsidR="00C408AB" w:rsidRPr="00481F3C" w:rsidRDefault="00C651E8"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LPFI</w:t>
            </w:r>
          </w:p>
        </w:tc>
      </w:tr>
      <w:tr w:rsidR="00481F3C" w:rsidRPr="00481F3C" w14:paraId="3E5C8836" w14:textId="77777777" w:rsidTr="00D15228">
        <w:trPr>
          <w:trHeight w:val="298"/>
        </w:trPr>
        <w:tc>
          <w:tcPr>
            <w:tcW w:w="1701" w:type="dxa"/>
            <w:tcBorders>
              <w:top w:val="nil"/>
              <w:left w:val="nil"/>
              <w:bottom w:val="nil"/>
              <w:right w:val="nil"/>
            </w:tcBorders>
            <w:shd w:val="clear" w:color="auto" w:fill="auto"/>
            <w:noWrap/>
            <w:vAlign w:val="bottom"/>
            <w:hideMark/>
          </w:tcPr>
          <w:p w14:paraId="62D9EA99"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5D09DB8D"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 xml:space="preserve">Private Debt </w:t>
            </w:r>
          </w:p>
        </w:tc>
        <w:tc>
          <w:tcPr>
            <w:tcW w:w="2218" w:type="dxa"/>
            <w:tcBorders>
              <w:top w:val="nil"/>
              <w:left w:val="nil"/>
              <w:bottom w:val="nil"/>
              <w:right w:val="nil"/>
            </w:tcBorders>
            <w:shd w:val="clear" w:color="auto" w:fill="auto"/>
            <w:noWrap/>
            <w:vAlign w:val="bottom"/>
            <w:hideMark/>
          </w:tcPr>
          <w:p w14:paraId="5E38A69C"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Various</w:t>
            </w:r>
          </w:p>
        </w:tc>
      </w:tr>
      <w:tr w:rsidR="00481F3C" w:rsidRPr="00481F3C" w14:paraId="442BF90B" w14:textId="77777777" w:rsidTr="00D15228">
        <w:trPr>
          <w:trHeight w:val="372"/>
        </w:trPr>
        <w:tc>
          <w:tcPr>
            <w:tcW w:w="1701" w:type="dxa"/>
            <w:tcBorders>
              <w:top w:val="nil"/>
              <w:left w:val="nil"/>
              <w:bottom w:val="nil"/>
              <w:right w:val="nil"/>
            </w:tcBorders>
            <w:shd w:val="clear" w:color="000000" w:fill="D0CECE"/>
            <w:noWrap/>
            <w:vAlign w:val="center"/>
            <w:hideMark/>
          </w:tcPr>
          <w:p w14:paraId="7EE25BC7"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Other Real Assets</w:t>
            </w:r>
          </w:p>
        </w:tc>
        <w:tc>
          <w:tcPr>
            <w:tcW w:w="3547" w:type="dxa"/>
            <w:tcBorders>
              <w:top w:val="nil"/>
              <w:left w:val="nil"/>
              <w:bottom w:val="nil"/>
              <w:right w:val="nil"/>
            </w:tcBorders>
            <w:shd w:val="clear" w:color="000000" w:fill="D0CECE"/>
            <w:noWrap/>
            <w:vAlign w:val="center"/>
            <w:hideMark/>
          </w:tcPr>
          <w:p w14:paraId="4CE7CB2B"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 </w:t>
            </w:r>
          </w:p>
        </w:tc>
        <w:tc>
          <w:tcPr>
            <w:tcW w:w="2218" w:type="dxa"/>
            <w:tcBorders>
              <w:top w:val="nil"/>
              <w:left w:val="nil"/>
              <w:bottom w:val="nil"/>
              <w:right w:val="nil"/>
            </w:tcBorders>
            <w:shd w:val="clear" w:color="000000" w:fill="D0CECE"/>
            <w:noWrap/>
            <w:vAlign w:val="center"/>
            <w:hideMark/>
          </w:tcPr>
          <w:p w14:paraId="7369FD6B"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 </w:t>
            </w:r>
          </w:p>
        </w:tc>
      </w:tr>
      <w:tr w:rsidR="00481F3C" w:rsidRPr="00481F3C" w14:paraId="72E8D286" w14:textId="77777777" w:rsidTr="00D15228">
        <w:trPr>
          <w:trHeight w:val="298"/>
        </w:trPr>
        <w:tc>
          <w:tcPr>
            <w:tcW w:w="1701" w:type="dxa"/>
            <w:tcBorders>
              <w:top w:val="nil"/>
              <w:left w:val="nil"/>
              <w:bottom w:val="nil"/>
              <w:right w:val="nil"/>
            </w:tcBorders>
            <w:shd w:val="clear" w:color="auto" w:fill="auto"/>
            <w:noWrap/>
            <w:vAlign w:val="bottom"/>
            <w:hideMark/>
          </w:tcPr>
          <w:p w14:paraId="65FDE88B" w14:textId="77777777" w:rsidR="00481F3C" w:rsidRPr="00481F3C" w:rsidRDefault="00481F3C" w:rsidP="00481F3C">
            <w:pPr>
              <w:spacing w:before="0" w:after="0" w:line="240" w:lineRule="auto"/>
              <w:rPr>
                <w:rFonts w:ascii="Calibri" w:eastAsia="Times New Roman" w:hAnsi="Calibri" w:cs="Calibri"/>
                <w:b/>
                <w:bCs/>
                <w:color w:val="000000"/>
                <w:lang w:eastAsia="en-GB"/>
              </w:rPr>
            </w:pPr>
          </w:p>
        </w:tc>
        <w:tc>
          <w:tcPr>
            <w:tcW w:w="3547" w:type="dxa"/>
            <w:tcBorders>
              <w:top w:val="nil"/>
              <w:left w:val="nil"/>
              <w:bottom w:val="nil"/>
              <w:right w:val="nil"/>
            </w:tcBorders>
            <w:shd w:val="clear" w:color="auto" w:fill="auto"/>
            <w:noWrap/>
            <w:vAlign w:val="bottom"/>
            <w:hideMark/>
          </w:tcPr>
          <w:p w14:paraId="58CF1C9F"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UK Property</w:t>
            </w:r>
          </w:p>
        </w:tc>
        <w:tc>
          <w:tcPr>
            <w:tcW w:w="2218" w:type="dxa"/>
            <w:tcBorders>
              <w:top w:val="nil"/>
              <w:left w:val="nil"/>
              <w:bottom w:val="nil"/>
              <w:right w:val="nil"/>
            </w:tcBorders>
            <w:shd w:val="clear" w:color="auto" w:fill="auto"/>
            <w:noWrap/>
            <w:vAlign w:val="bottom"/>
            <w:hideMark/>
          </w:tcPr>
          <w:p w14:paraId="1C89F0D5" w14:textId="67B596D5" w:rsidR="00481F3C" w:rsidRPr="00481F3C" w:rsidRDefault="00C651E8"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Internal</w:t>
            </w:r>
          </w:p>
        </w:tc>
      </w:tr>
      <w:tr w:rsidR="00481F3C" w:rsidRPr="00481F3C" w14:paraId="1F8EEF77" w14:textId="77777777" w:rsidTr="00D15228">
        <w:trPr>
          <w:trHeight w:val="298"/>
        </w:trPr>
        <w:tc>
          <w:tcPr>
            <w:tcW w:w="1701" w:type="dxa"/>
            <w:tcBorders>
              <w:top w:val="nil"/>
              <w:left w:val="nil"/>
              <w:bottom w:val="nil"/>
              <w:right w:val="nil"/>
            </w:tcBorders>
            <w:shd w:val="clear" w:color="auto" w:fill="auto"/>
            <w:noWrap/>
            <w:vAlign w:val="bottom"/>
            <w:hideMark/>
          </w:tcPr>
          <w:p w14:paraId="68E152E4"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2735EA8B"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Global Infrastructure</w:t>
            </w:r>
          </w:p>
        </w:tc>
        <w:tc>
          <w:tcPr>
            <w:tcW w:w="2218" w:type="dxa"/>
            <w:tcBorders>
              <w:top w:val="nil"/>
              <w:left w:val="nil"/>
              <w:bottom w:val="nil"/>
              <w:right w:val="nil"/>
            </w:tcBorders>
            <w:shd w:val="clear" w:color="auto" w:fill="auto"/>
            <w:noWrap/>
            <w:vAlign w:val="bottom"/>
            <w:hideMark/>
          </w:tcPr>
          <w:p w14:paraId="5A7397AF" w14:textId="4BE7D530"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Internal</w:t>
            </w:r>
            <w:r w:rsidR="002A25D4">
              <w:rPr>
                <w:rFonts w:ascii="Calibri" w:eastAsia="Times New Roman" w:hAnsi="Calibri" w:cs="Calibri"/>
                <w:color w:val="000000"/>
                <w:lang w:eastAsia="en-GB"/>
              </w:rPr>
              <w:t>/GCM</w:t>
            </w:r>
          </w:p>
        </w:tc>
      </w:tr>
      <w:tr w:rsidR="00481F3C" w:rsidRPr="00481F3C" w14:paraId="6E099633" w14:textId="77777777" w:rsidTr="00D15228">
        <w:trPr>
          <w:trHeight w:val="298"/>
        </w:trPr>
        <w:tc>
          <w:tcPr>
            <w:tcW w:w="1701" w:type="dxa"/>
            <w:tcBorders>
              <w:top w:val="nil"/>
              <w:left w:val="nil"/>
              <w:bottom w:val="nil"/>
              <w:right w:val="nil"/>
            </w:tcBorders>
            <w:shd w:val="clear" w:color="auto" w:fill="auto"/>
            <w:noWrap/>
            <w:vAlign w:val="bottom"/>
            <w:hideMark/>
          </w:tcPr>
          <w:p w14:paraId="77682DD3"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72B2F2C2" w14:textId="6F117DEE" w:rsidR="00481F3C" w:rsidRPr="00481F3C" w:rsidRDefault="00E674AE" w:rsidP="00481F3C">
            <w:pPr>
              <w:spacing w:before="0"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Residential</w:t>
            </w:r>
            <w:r w:rsidR="00481F3C" w:rsidRPr="00481F3C">
              <w:rPr>
                <w:rFonts w:ascii="Calibri" w:eastAsia="Times New Roman" w:hAnsi="Calibri" w:cs="Calibri"/>
                <w:color w:val="000000"/>
                <w:lang w:eastAsia="en-GB"/>
              </w:rPr>
              <w:t xml:space="preserve"> Housing</w:t>
            </w:r>
          </w:p>
        </w:tc>
        <w:tc>
          <w:tcPr>
            <w:tcW w:w="2218" w:type="dxa"/>
            <w:tcBorders>
              <w:top w:val="nil"/>
              <w:left w:val="nil"/>
              <w:bottom w:val="nil"/>
              <w:right w:val="nil"/>
            </w:tcBorders>
            <w:shd w:val="clear" w:color="auto" w:fill="auto"/>
            <w:noWrap/>
            <w:vAlign w:val="bottom"/>
            <w:hideMark/>
          </w:tcPr>
          <w:p w14:paraId="5617E719"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Hearthstone</w:t>
            </w:r>
          </w:p>
        </w:tc>
      </w:tr>
      <w:tr w:rsidR="00481F3C" w:rsidRPr="00481F3C" w14:paraId="0B871BA7" w14:textId="77777777" w:rsidTr="00D15228">
        <w:trPr>
          <w:trHeight w:val="372"/>
        </w:trPr>
        <w:tc>
          <w:tcPr>
            <w:tcW w:w="1701" w:type="dxa"/>
            <w:tcBorders>
              <w:top w:val="nil"/>
              <w:left w:val="nil"/>
              <w:bottom w:val="nil"/>
              <w:right w:val="nil"/>
            </w:tcBorders>
            <w:shd w:val="clear" w:color="000000" w:fill="D0CECE"/>
            <w:noWrap/>
            <w:vAlign w:val="center"/>
            <w:hideMark/>
          </w:tcPr>
          <w:p w14:paraId="00D426DB"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Cash</w:t>
            </w:r>
          </w:p>
        </w:tc>
        <w:tc>
          <w:tcPr>
            <w:tcW w:w="3547" w:type="dxa"/>
            <w:tcBorders>
              <w:top w:val="nil"/>
              <w:left w:val="nil"/>
              <w:bottom w:val="nil"/>
              <w:right w:val="nil"/>
            </w:tcBorders>
            <w:shd w:val="clear" w:color="000000" w:fill="D0CECE"/>
            <w:noWrap/>
            <w:vAlign w:val="center"/>
            <w:hideMark/>
          </w:tcPr>
          <w:p w14:paraId="65E34AA4"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 </w:t>
            </w:r>
          </w:p>
        </w:tc>
        <w:tc>
          <w:tcPr>
            <w:tcW w:w="2218" w:type="dxa"/>
            <w:tcBorders>
              <w:top w:val="nil"/>
              <w:left w:val="nil"/>
              <w:bottom w:val="nil"/>
              <w:right w:val="nil"/>
            </w:tcBorders>
            <w:shd w:val="clear" w:color="000000" w:fill="D0CECE"/>
            <w:noWrap/>
            <w:vAlign w:val="center"/>
            <w:hideMark/>
          </w:tcPr>
          <w:p w14:paraId="5BB3606D" w14:textId="77777777" w:rsidR="00481F3C" w:rsidRPr="00481F3C" w:rsidRDefault="00481F3C" w:rsidP="00481F3C">
            <w:pPr>
              <w:spacing w:before="0" w:after="0" w:line="240" w:lineRule="auto"/>
              <w:rPr>
                <w:rFonts w:ascii="Calibri" w:eastAsia="Times New Roman" w:hAnsi="Calibri" w:cs="Calibri"/>
                <w:b/>
                <w:bCs/>
                <w:color w:val="000000"/>
                <w:lang w:eastAsia="en-GB"/>
              </w:rPr>
            </w:pPr>
            <w:r w:rsidRPr="00481F3C">
              <w:rPr>
                <w:rFonts w:ascii="Calibri" w:eastAsia="Times New Roman" w:hAnsi="Calibri" w:cs="Calibri"/>
                <w:b/>
                <w:bCs/>
                <w:color w:val="000000"/>
                <w:lang w:eastAsia="en-GB"/>
              </w:rPr>
              <w:t>Internal and External</w:t>
            </w:r>
          </w:p>
        </w:tc>
      </w:tr>
      <w:tr w:rsidR="00481F3C" w:rsidRPr="00481F3C" w14:paraId="3F371A48" w14:textId="77777777" w:rsidTr="00D15228">
        <w:trPr>
          <w:trHeight w:val="298"/>
        </w:trPr>
        <w:tc>
          <w:tcPr>
            <w:tcW w:w="1701" w:type="dxa"/>
            <w:tcBorders>
              <w:top w:val="nil"/>
              <w:left w:val="nil"/>
              <w:bottom w:val="nil"/>
              <w:right w:val="nil"/>
            </w:tcBorders>
            <w:shd w:val="clear" w:color="auto" w:fill="auto"/>
            <w:noWrap/>
            <w:vAlign w:val="bottom"/>
            <w:hideMark/>
          </w:tcPr>
          <w:p w14:paraId="593C9847" w14:textId="77777777" w:rsidR="00481F3C" w:rsidRPr="00481F3C" w:rsidRDefault="00481F3C" w:rsidP="00481F3C">
            <w:pPr>
              <w:spacing w:before="0" w:after="0" w:line="240" w:lineRule="auto"/>
              <w:rPr>
                <w:rFonts w:ascii="Calibri" w:eastAsia="Times New Roman" w:hAnsi="Calibri" w:cs="Calibri"/>
                <w:b/>
                <w:bCs/>
                <w:color w:val="000000"/>
                <w:lang w:eastAsia="en-GB"/>
              </w:rPr>
            </w:pPr>
          </w:p>
        </w:tc>
        <w:tc>
          <w:tcPr>
            <w:tcW w:w="3547" w:type="dxa"/>
            <w:tcBorders>
              <w:top w:val="nil"/>
              <w:left w:val="nil"/>
              <w:bottom w:val="nil"/>
              <w:right w:val="nil"/>
            </w:tcBorders>
            <w:shd w:val="clear" w:color="auto" w:fill="auto"/>
            <w:noWrap/>
            <w:vAlign w:val="bottom"/>
            <w:hideMark/>
          </w:tcPr>
          <w:p w14:paraId="04AAC7FE"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Cash</w:t>
            </w:r>
          </w:p>
        </w:tc>
        <w:tc>
          <w:tcPr>
            <w:tcW w:w="2218" w:type="dxa"/>
            <w:tcBorders>
              <w:top w:val="nil"/>
              <w:left w:val="nil"/>
              <w:bottom w:val="nil"/>
              <w:right w:val="nil"/>
            </w:tcBorders>
            <w:shd w:val="clear" w:color="auto" w:fill="auto"/>
            <w:noWrap/>
            <w:vAlign w:val="bottom"/>
            <w:hideMark/>
          </w:tcPr>
          <w:p w14:paraId="26C719D7" w14:textId="77777777" w:rsidR="00481F3C" w:rsidRPr="00481F3C" w:rsidRDefault="00481F3C" w:rsidP="00481F3C">
            <w:pPr>
              <w:spacing w:before="0" w:after="0" w:line="240" w:lineRule="auto"/>
              <w:rPr>
                <w:rFonts w:ascii="Calibri" w:eastAsia="Times New Roman" w:hAnsi="Calibri" w:cs="Calibri"/>
                <w:color w:val="000000"/>
                <w:lang w:eastAsia="en-GB"/>
              </w:rPr>
            </w:pPr>
            <w:r w:rsidRPr="00481F3C">
              <w:rPr>
                <w:rFonts w:ascii="Calibri" w:eastAsia="Times New Roman" w:hAnsi="Calibri" w:cs="Calibri"/>
                <w:color w:val="000000"/>
                <w:lang w:eastAsia="en-GB"/>
              </w:rPr>
              <w:t>Various</w:t>
            </w:r>
          </w:p>
        </w:tc>
      </w:tr>
      <w:tr w:rsidR="00481F3C" w:rsidRPr="00481F3C" w14:paraId="14184AE9" w14:textId="77777777" w:rsidTr="00D15228">
        <w:trPr>
          <w:trHeight w:val="298"/>
        </w:trPr>
        <w:tc>
          <w:tcPr>
            <w:tcW w:w="1701" w:type="dxa"/>
            <w:tcBorders>
              <w:top w:val="nil"/>
              <w:left w:val="nil"/>
              <w:bottom w:val="nil"/>
              <w:right w:val="nil"/>
            </w:tcBorders>
            <w:shd w:val="clear" w:color="auto" w:fill="auto"/>
            <w:noWrap/>
            <w:vAlign w:val="bottom"/>
            <w:hideMark/>
          </w:tcPr>
          <w:p w14:paraId="3FF81971" w14:textId="77777777" w:rsidR="00481F3C" w:rsidRPr="00481F3C" w:rsidRDefault="00481F3C" w:rsidP="00481F3C">
            <w:pPr>
              <w:spacing w:before="0" w:after="0" w:line="240" w:lineRule="auto"/>
              <w:rPr>
                <w:rFonts w:ascii="Calibri" w:eastAsia="Times New Roman" w:hAnsi="Calibri" w:cs="Calibri"/>
                <w:color w:val="000000"/>
                <w:lang w:eastAsia="en-GB"/>
              </w:rPr>
            </w:pPr>
          </w:p>
        </w:tc>
        <w:tc>
          <w:tcPr>
            <w:tcW w:w="3547" w:type="dxa"/>
            <w:tcBorders>
              <w:top w:val="nil"/>
              <w:left w:val="nil"/>
              <w:bottom w:val="nil"/>
              <w:right w:val="nil"/>
            </w:tcBorders>
            <w:shd w:val="clear" w:color="auto" w:fill="auto"/>
            <w:noWrap/>
            <w:vAlign w:val="bottom"/>
            <w:hideMark/>
          </w:tcPr>
          <w:p w14:paraId="2BF4E35C" w14:textId="77777777" w:rsidR="00481F3C" w:rsidRPr="00481F3C" w:rsidRDefault="00481F3C" w:rsidP="00481F3C">
            <w:pPr>
              <w:spacing w:before="0" w:after="0" w:line="240" w:lineRule="auto"/>
              <w:rPr>
                <w:rFonts w:ascii="Times New Roman" w:eastAsia="Times New Roman" w:hAnsi="Times New Roman" w:cs="Times New Roman"/>
                <w:sz w:val="20"/>
                <w:szCs w:val="20"/>
                <w:lang w:eastAsia="en-GB"/>
              </w:rPr>
            </w:pPr>
          </w:p>
        </w:tc>
        <w:tc>
          <w:tcPr>
            <w:tcW w:w="2218" w:type="dxa"/>
            <w:tcBorders>
              <w:top w:val="nil"/>
              <w:left w:val="nil"/>
              <w:bottom w:val="nil"/>
              <w:right w:val="nil"/>
            </w:tcBorders>
            <w:shd w:val="clear" w:color="auto" w:fill="auto"/>
            <w:noWrap/>
            <w:vAlign w:val="bottom"/>
            <w:hideMark/>
          </w:tcPr>
          <w:p w14:paraId="6CC31C0F" w14:textId="77777777" w:rsidR="00481F3C" w:rsidRPr="00481F3C" w:rsidRDefault="00481F3C" w:rsidP="00481F3C">
            <w:pPr>
              <w:spacing w:before="0" w:after="0" w:line="240" w:lineRule="auto"/>
              <w:rPr>
                <w:rFonts w:ascii="Times New Roman" w:eastAsia="Times New Roman" w:hAnsi="Times New Roman" w:cs="Times New Roman"/>
                <w:sz w:val="20"/>
                <w:szCs w:val="20"/>
                <w:lang w:eastAsia="en-GB"/>
              </w:rPr>
            </w:pPr>
          </w:p>
        </w:tc>
      </w:tr>
      <w:tr w:rsidR="0008798D" w:rsidRPr="00481F3C" w14:paraId="619D1C79" w14:textId="77777777" w:rsidTr="00233588">
        <w:trPr>
          <w:trHeight w:val="298"/>
        </w:trPr>
        <w:tc>
          <w:tcPr>
            <w:tcW w:w="7466" w:type="dxa"/>
            <w:gridSpan w:val="3"/>
            <w:tcBorders>
              <w:top w:val="nil"/>
              <w:left w:val="nil"/>
              <w:bottom w:val="nil"/>
              <w:right w:val="nil"/>
            </w:tcBorders>
            <w:shd w:val="clear" w:color="auto" w:fill="auto"/>
            <w:noWrap/>
            <w:vAlign w:val="bottom"/>
          </w:tcPr>
          <w:p w14:paraId="795233E0" w14:textId="77777777" w:rsidR="0008798D" w:rsidRPr="00481F3C" w:rsidRDefault="0008798D" w:rsidP="00233588">
            <w:pPr>
              <w:spacing w:before="0" w:after="0" w:line="240" w:lineRule="auto"/>
              <w:rPr>
                <w:rFonts w:ascii="Calibri" w:eastAsia="Times New Roman" w:hAnsi="Calibri" w:cs="Calibri"/>
                <w:color w:val="000000"/>
                <w:lang w:eastAsia="en-GB"/>
              </w:rPr>
            </w:pPr>
          </w:p>
        </w:tc>
      </w:tr>
      <w:tr w:rsidR="0008798D" w:rsidRPr="00481F3C" w14:paraId="17EF1328" w14:textId="77777777" w:rsidTr="00233588">
        <w:trPr>
          <w:trHeight w:val="298"/>
        </w:trPr>
        <w:tc>
          <w:tcPr>
            <w:tcW w:w="7466" w:type="dxa"/>
            <w:gridSpan w:val="3"/>
            <w:tcBorders>
              <w:top w:val="nil"/>
              <w:left w:val="nil"/>
              <w:bottom w:val="nil"/>
              <w:right w:val="nil"/>
            </w:tcBorders>
            <w:shd w:val="clear" w:color="auto" w:fill="auto"/>
            <w:noWrap/>
            <w:vAlign w:val="bottom"/>
          </w:tcPr>
          <w:p w14:paraId="628B6002" w14:textId="77777777" w:rsidR="0008798D" w:rsidRPr="00481F3C" w:rsidRDefault="0008798D" w:rsidP="00233588">
            <w:pPr>
              <w:spacing w:before="0" w:after="0" w:line="240" w:lineRule="auto"/>
              <w:rPr>
                <w:rFonts w:ascii="Calibri" w:eastAsia="Times New Roman" w:hAnsi="Calibri" w:cs="Calibri"/>
                <w:color w:val="000000"/>
                <w:lang w:eastAsia="en-GB"/>
              </w:rPr>
            </w:pPr>
          </w:p>
        </w:tc>
      </w:tr>
    </w:tbl>
    <w:p w14:paraId="5FF3A7B1" w14:textId="156A9A10" w:rsidR="00D12761" w:rsidRPr="00FE6695" w:rsidRDefault="0037222B" w:rsidP="00D12761">
      <w:pPr>
        <w:pStyle w:val="Heading1"/>
        <w:ind w:left="567" w:hanging="567"/>
      </w:pPr>
      <w:r>
        <w:t>appendix c</w:t>
      </w:r>
      <w:r w:rsidR="002039BB">
        <w:t xml:space="preserve"> – </w:t>
      </w:r>
      <w:r w:rsidR="00EB2A1B">
        <w:t xml:space="preserve">STEWARDSHIP </w:t>
      </w:r>
      <w:r w:rsidR="008E1D41">
        <w:t>statement</w:t>
      </w:r>
    </w:p>
    <w:p w14:paraId="217514E2" w14:textId="77777777" w:rsidR="00D12761" w:rsidRPr="00D87001" w:rsidRDefault="00D12761" w:rsidP="00D87001">
      <w:pPr>
        <w:spacing w:before="0" w:after="0" w:line="240" w:lineRule="auto"/>
        <w:jc w:val="both"/>
        <w:rPr>
          <w:rFonts w:ascii="Calibri" w:hAnsi="Calibri" w:cs="Arial"/>
        </w:rPr>
      </w:pPr>
    </w:p>
    <w:p w14:paraId="23AEE4F1" w14:textId="77777777" w:rsidR="008E1D41" w:rsidRPr="0012029C" w:rsidRDefault="008E1D41" w:rsidP="0012029C">
      <w:pPr>
        <w:spacing w:before="0" w:after="0" w:line="240" w:lineRule="auto"/>
        <w:jc w:val="both"/>
        <w:rPr>
          <w:rFonts w:ascii="Calibri" w:hAnsi="Calibri" w:cs="Arial"/>
        </w:rPr>
      </w:pPr>
    </w:p>
    <w:p w14:paraId="0791A5EE" w14:textId="7CDF2528" w:rsidR="008E1D41" w:rsidRPr="00766606" w:rsidRDefault="0012029C" w:rsidP="008E1D41">
      <w:pPr>
        <w:spacing w:before="0" w:after="0"/>
        <w:rPr>
          <w:rFonts w:ascii="Calibri" w:hAnsi="Calibri" w:cs="Arial"/>
        </w:rPr>
      </w:pPr>
      <w:r>
        <w:rPr>
          <w:rFonts w:ascii="Calibri" w:hAnsi="Calibri" w:cs="Arial"/>
        </w:rPr>
        <w:t xml:space="preserve">The </w:t>
      </w:r>
      <w:r w:rsidR="00EB2A1B">
        <w:rPr>
          <w:rFonts w:ascii="Calibri" w:hAnsi="Calibri" w:cs="Arial"/>
        </w:rPr>
        <w:t xml:space="preserve">Stewardship Statement </w:t>
      </w:r>
      <w:r w:rsidR="002A4D10">
        <w:rPr>
          <w:rFonts w:ascii="Calibri" w:hAnsi="Calibri" w:cs="Arial"/>
        </w:rPr>
        <w:t xml:space="preserve">seeks to demonstrate how the Fund </w:t>
      </w:r>
      <w:r w:rsidR="00EB2A1B">
        <w:rPr>
          <w:rFonts w:ascii="Calibri" w:hAnsi="Calibri" w:cs="Arial"/>
        </w:rPr>
        <w:t>adhere</w:t>
      </w:r>
      <w:r w:rsidR="00F91997">
        <w:rPr>
          <w:rFonts w:ascii="Calibri" w:hAnsi="Calibri" w:cs="Arial"/>
        </w:rPr>
        <w:t>s</w:t>
      </w:r>
      <w:r w:rsidR="00EB2A1B">
        <w:rPr>
          <w:rFonts w:ascii="Calibri" w:hAnsi="Calibri" w:cs="Arial"/>
        </w:rPr>
        <w:t xml:space="preserve"> to the </w:t>
      </w:r>
      <w:r w:rsidR="00B8728A">
        <w:rPr>
          <w:rFonts w:ascii="Calibri" w:hAnsi="Calibri" w:cs="Arial"/>
        </w:rPr>
        <w:t xml:space="preserve">seven </w:t>
      </w:r>
      <w:r w:rsidR="00EB2A1B">
        <w:rPr>
          <w:rFonts w:ascii="Calibri" w:hAnsi="Calibri" w:cs="Arial"/>
        </w:rPr>
        <w:t xml:space="preserve">principles </w:t>
      </w:r>
      <w:r w:rsidR="00F91997">
        <w:rPr>
          <w:rFonts w:ascii="Calibri" w:hAnsi="Calibri" w:cs="Arial"/>
        </w:rPr>
        <w:t>of good stewardship as set out in the U</w:t>
      </w:r>
      <w:r w:rsidR="00EB2A1B">
        <w:rPr>
          <w:rFonts w:ascii="Calibri" w:hAnsi="Calibri" w:cs="Arial"/>
        </w:rPr>
        <w:t>K Stewardship Code</w:t>
      </w:r>
      <w:r w:rsidR="00F91997">
        <w:rPr>
          <w:rFonts w:ascii="Calibri" w:hAnsi="Calibri" w:cs="Arial"/>
        </w:rPr>
        <w:t xml:space="preserve"> 2012</w:t>
      </w:r>
      <w:r w:rsidR="006416FC">
        <w:rPr>
          <w:rFonts w:ascii="Calibri" w:hAnsi="Calibri" w:cs="Arial"/>
        </w:rPr>
        <w:t>.   It is noted that</w:t>
      </w:r>
      <w:r w:rsidR="00DF52CE">
        <w:rPr>
          <w:rFonts w:ascii="Calibri" w:hAnsi="Calibri" w:cs="Arial"/>
        </w:rPr>
        <w:t xml:space="preserve"> the</w:t>
      </w:r>
      <w:r w:rsidR="006416FC">
        <w:rPr>
          <w:rFonts w:ascii="Calibri" w:hAnsi="Calibri" w:cs="Arial"/>
        </w:rPr>
        <w:t xml:space="preserve"> Stewardship Code </w:t>
      </w:r>
      <w:r w:rsidR="00702A85">
        <w:rPr>
          <w:rFonts w:ascii="Calibri" w:hAnsi="Calibri" w:cs="Arial"/>
        </w:rPr>
        <w:t>was</w:t>
      </w:r>
      <w:r w:rsidR="006416FC">
        <w:rPr>
          <w:rFonts w:ascii="Calibri" w:hAnsi="Calibri" w:cs="Arial"/>
        </w:rPr>
        <w:t xml:space="preserve"> updated and extended in 2020. </w:t>
      </w:r>
      <w:r w:rsidR="00B8728A">
        <w:rPr>
          <w:rFonts w:ascii="Calibri" w:hAnsi="Calibri" w:cs="Arial"/>
        </w:rPr>
        <w:t xml:space="preserve"> </w:t>
      </w:r>
      <w:r w:rsidR="008400B3">
        <w:rPr>
          <w:rFonts w:ascii="Calibri" w:hAnsi="Calibri" w:cs="Arial"/>
        </w:rPr>
        <w:t xml:space="preserve">Although the Fund is not a signatory to the </w:t>
      </w:r>
      <w:r w:rsidR="00A50AEC">
        <w:rPr>
          <w:rFonts w:ascii="Calibri" w:hAnsi="Calibri" w:cs="Arial"/>
        </w:rPr>
        <w:t xml:space="preserve">revised </w:t>
      </w:r>
      <w:r w:rsidR="008400B3">
        <w:rPr>
          <w:rFonts w:ascii="Calibri" w:hAnsi="Calibri" w:cs="Arial"/>
        </w:rPr>
        <w:t>Code, due to the resourcing and cost implications, it is supportive of its princ</w:t>
      </w:r>
      <w:r w:rsidR="002A4D10">
        <w:rPr>
          <w:rFonts w:ascii="Calibri" w:hAnsi="Calibri" w:cs="Arial"/>
        </w:rPr>
        <w:t>i</w:t>
      </w:r>
      <w:r w:rsidR="008400B3">
        <w:rPr>
          <w:rFonts w:ascii="Calibri" w:hAnsi="Calibri" w:cs="Arial"/>
        </w:rPr>
        <w:t>ples</w:t>
      </w:r>
      <w:r w:rsidR="006416FC">
        <w:rPr>
          <w:rFonts w:ascii="Calibri" w:hAnsi="Calibri" w:cs="Arial"/>
        </w:rPr>
        <w:t xml:space="preserve"> and will work towards extending its stewardship </w:t>
      </w:r>
      <w:r w:rsidR="000B0E0D">
        <w:rPr>
          <w:rFonts w:ascii="Calibri" w:hAnsi="Calibri" w:cs="Arial"/>
        </w:rPr>
        <w:t>role</w:t>
      </w:r>
      <w:r w:rsidR="006416FC">
        <w:rPr>
          <w:rFonts w:ascii="Calibri" w:hAnsi="Calibri" w:cs="Arial"/>
        </w:rPr>
        <w:t xml:space="preserve"> towards compliance with the new Code.  </w:t>
      </w:r>
    </w:p>
    <w:p w14:paraId="79974DA9" w14:textId="77777777" w:rsidR="008E1D41" w:rsidRPr="00766606" w:rsidRDefault="008E1D41" w:rsidP="008E1D41">
      <w:pPr>
        <w:spacing w:before="0" w:after="0"/>
        <w:rPr>
          <w:rFonts w:ascii="Calibri" w:hAnsi="Calibri" w:cs="Arial"/>
        </w:rPr>
      </w:pPr>
    </w:p>
    <w:p w14:paraId="3C8B410F" w14:textId="77777777" w:rsidR="008E1D41" w:rsidRPr="00766606" w:rsidRDefault="008E1D41" w:rsidP="008E1D41">
      <w:pPr>
        <w:tabs>
          <w:tab w:val="left" w:pos="0"/>
        </w:tabs>
        <w:spacing w:before="0"/>
        <w:rPr>
          <w:rFonts w:ascii="Calibri" w:hAnsi="Calibri" w:cs="Arial"/>
          <w:b/>
        </w:rPr>
      </w:pPr>
      <w:r w:rsidRPr="00766606">
        <w:rPr>
          <w:rFonts w:ascii="Calibri" w:hAnsi="Calibri" w:cs="Arial"/>
          <w:b/>
        </w:rPr>
        <w:t xml:space="preserve">Principle 1: </w:t>
      </w:r>
      <w:r w:rsidRPr="00766606">
        <w:rPr>
          <w:rFonts w:ascii="Calibri" w:hAnsi="Calibri" w:cs="Arial"/>
          <w:b/>
          <w:i/>
        </w:rPr>
        <w:t>Institutional investors should publicly disclose their policy on how they will discharge their stewardship responsibilities</w:t>
      </w:r>
      <w:r w:rsidRPr="00766606">
        <w:rPr>
          <w:rFonts w:ascii="Calibri" w:hAnsi="Calibri" w:cs="Arial"/>
          <w:color w:val="000000"/>
        </w:rPr>
        <w:t>.</w:t>
      </w:r>
    </w:p>
    <w:p w14:paraId="01DC1518" w14:textId="6B825230" w:rsidR="00534D5C" w:rsidRDefault="000A6CF6" w:rsidP="0012029C">
      <w:pPr>
        <w:pStyle w:val="NumberedParagraph"/>
        <w:tabs>
          <w:tab w:val="clear" w:pos="720"/>
        </w:tabs>
        <w:jc w:val="both"/>
        <w:rPr>
          <w:rFonts w:ascii="Calibri" w:hAnsi="Calibri"/>
          <w:sz w:val="22"/>
          <w:szCs w:val="22"/>
          <w:lang w:eastAsia="en-GB"/>
        </w:rPr>
      </w:pPr>
      <w:r w:rsidRPr="00766606">
        <w:rPr>
          <w:rFonts w:ascii="Calibri" w:hAnsi="Calibri"/>
          <w:sz w:val="22"/>
          <w:szCs w:val="22"/>
          <w:lang w:eastAsia="en-GB"/>
        </w:rPr>
        <w:t xml:space="preserve">We acknowledge our role as an asset owner under the </w:t>
      </w:r>
      <w:r w:rsidR="00744D97">
        <w:rPr>
          <w:rFonts w:ascii="Calibri" w:hAnsi="Calibri"/>
          <w:sz w:val="22"/>
          <w:szCs w:val="22"/>
          <w:lang w:eastAsia="en-GB"/>
        </w:rPr>
        <w:t xml:space="preserve">UK Stewardship Code and </w:t>
      </w:r>
      <w:r w:rsidRPr="00766606">
        <w:rPr>
          <w:rFonts w:ascii="Calibri" w:hAnsi="Calibri"/>
          <w:sz w:val="22"/>
          <w:szCs w:val="22"/>
          <w:lang w:eastAsia="en-GB"/>
        </w:rPr>
        <w:t>seek to hold to account our fund managers and service providers in respect of their commitments to the Code.</w:t>
      </w:r>
      <w:r w:rsidR="0012029C">
        <w:rPr>
          <w:rFonts w:ascii="Calibri" w:hAnsi="Calibri"/>
          <w:sz w:val="22"/>
          <w:szCs w:val="22"/>
          <w:lang w:eastAsia="en-GB"/>
        </w:rPr>
        <w:t xml:space="preserve">  </w:t>
      </w:r>
      <w:r w:rsidRPr="0012029C">
        <w:rPr>
          <w:rFonts w:ascii="Calibri" w:hAnsi="Calibri"/>
          <w:sz w:val="22"/>
          <w:szCs w:val="22"/>
          <w:lang w:eastAsia="en-GB"/>
        </w:rPr>
        <w:t>In practice</w:t>
      </w:r>
      <w:r w:rsidR="00744D97">
        <w:rPr>
          <w:rFonts w:ascii="Calibri" w:hAnsi="Calibri"/>
          <w:sz w:val="22"/>
          <w:szCs w:val="22"/>
          <w:lang w:eastAsia="en-GB"/>
        </w:rPr>
        <w:t>,</w:t>
      </w:r>
      <w:r w:rsidRPr="0012029C">
        <w:rPr>
          <w:rFonts w:ascii="Calibri" w:hAnsi="Calibri"/>
          <w:sz w:val="22"/>
          <w:szCs w:val="22"/>
          <w:lang w:eastAsia="en-GB"/>
        </w:rPr>
        <w:t xml:space="preserve"> our policy is to apply the Code through</w:t>
      </w:r>
      <w:r w:rsidR="00DD3CAA">
        <w:rPr>
          <w:rFonts w:ascii="Calibri" w:hAnsi="Calibri"/>
          <w:sz w:val="22"/>
          <w:szCs w:val="22"/>
          <w:lang w:eastAsia="en-GB"/>
        </w:rPr>
        <w:t xml:space="preserve"> </w:t>
      </w:r>
      <w:r w:rsidR="0086251F">
        <w:rPr>
          <w:rFonts w:ascii="Calibri" w:hAnsi="Calibri"/>
          <w:sz w:val="22"/>
          <w:szCs w:val="22"/>
          <w:lang w:eastAsia="en-GB"/>
        </w:rPr>
        <w:t>the:</w:t>
      </w:r>
    </w:p>
    <w:p w14:paraId="78759EBF" w14:textId="77777777" w:rsidR="00534D5C" w:rsidRDefault="00534D5C" w:rsidP="0012029C">
      <w:pPr>
        <w:pStyle w:val="NumberedParagraph"/>
        <w:tabs>
          <w:tab w:val="clear" w:pos="720"/>
        </w:tabs>
        <w:jc w:val="both"/>
        <w:rPr>
          <w:rFonts w:ascii="Calibri" w:hAnsi="Calibri"/>
          <w:sz w:val="22"/>
          <w:szCs w:val="22"/>
          <w:lang w:eastAsia="en-GB"/>
        </w:rPr>
      </w:pPr>
    </w:p>
    <w:p w14:paraId="53580D88" w14:textId="2C8DB6DC" w:rsidR="00534D5C" w:rsidRDefault="00DD3CAA" w:rsidP="00534D5C">
      <w:pPr>
        <w:pStyle w:val="NumberedParagraph"/>
        <w:numPr>
          <w:ilvl w:val="0"/>
          <w:numId w:val="24"/>
        </w:numPr>
        <w:jc w:val="both"/>
        <w:rPr>
          <w:rFonts w:ascii="Calibri" w:hAnsi="Calibri"/>
          <w:sz w:val="22"/>
          <w:szCs w:val="22"/>
          <w:lang w:eastAsia="en-GB"/>
        </w:rPr>
      </w:pPr>
      <w:r>
        <w:rPr>
          <w:rFonts w:ascii="Calibri" w:hAnsi="Calibri"/>
          <w:sz w:val="22"/>
          <w:szCs w:val="22"/>
          <w:lang w:eastAsia="en-GB"/>
        </w:rPr>
        <w:t xml:space="preserve">appointment of </w:t>
      </w:r>
      <w:proofErr w:type="gramStart"/>
      <w:r w:rsidR="005F289D">
        <w:rPr>
          <w:rFonts w:ascii="Calibri" w:hAnsi="Calibri"/>
          <w:sz w:val="22"/>
          <w:szCs w:val="22"/>
          <w:lang w:eastAsia="en-GB"/>
        </w:rPr>
        <w:t>EOS</w:t>
      </w:r>
      <w:r w:rsidR="00E64D37">
        <w:rPr>
          <w:rFonts w:ascii="Calibri" w:hAnsi="Calibri"/>
          <w:sz w:val="22"/>
          <w:szCs w:val="22"/>
          <w:lang w:eastAsia="en-GB"/>
        </w:rPr>
        <w:t>;</w:t>
      </w:r>
      <w:proofErr w:type="gramEnd"/>
    </w:p>
    <w:p w14:paraId="63F775AA" w14:textId="67706497" w:rsidR="00534D5C" w:rsidRDefault="00DD3CAA" w:rsidP="00534D5C">
      <w:pPr>
        <w:pStyle w:val="NumberedParagraph"/>
        <w:numPr>
          <w:ilvl w:val="0"/>
          <w:numId w:val="24"/>
        </w:numPr>
        <w:jc w:val="both"/>
        <w:rPr>
          <w:rFonts w:ascii="Calibri" w:hAnsi="Calibri"/>
          <w:sz w:val="22"/>
          <w:szCs w:val="22"/>
          <w:lang w:eastAsia="en-GB"/>
        </w:rPr>
      </w:pPr>
      <w:r>
        <w:rPr>
          <w:rFonts w:ascii="Calibri" w:hAnsi="Calibri"/>
          <w:sz w:val="22"/>
          <w:szCs w:val="22"/>
          <w:lang w:eastAsia="en-GB"/>
        </w:rPr>
        <w:t>membership of the Local Authority Pension Fund Forum (LAPFF</w:t>
      </w:r>
      <w:proofErr w:type="gramStart"/>
      <w:r>
        <w:rPr>
          <w:rFonts w:ascii="Calibri" w:hAnsi="Calibri"/>
          <w:sz w:val="22"/>
          <w:szCs w:val="22"/>
          <w:lang w:eastAsia="en-GB"/>
        </w:rPr>
        <w:t>);</w:t>
      </w:r>
      <w:proofErr w:type="gramEnd"/>
      <w:r>
        <w:rPr>
          <w:rFonts w:ascii="Calibri" w:hAnsi="Calibri"/>
          <w:sz w:val="22"/>
          <w:szCs w:val="22"/>
          <w:lang w:eastAsia="en-GB"/>
        </w:rPr>
        <w:t xml:space="preserve"> </w:t>
      </w:r>
    </w:p>
    <w:p w14:paraId="25D397CD" w14:textId="3BD6F8EC" w:rsidR="00534D5C" w:rsidRDefault="00DD3CAA" w:rsidP="00534D5C">
      <w:pPr>
        <w:pStyle w:val="NumberedParagraph"/>
        <w:numPr>
          <w:ilvl w:val="0"/>
          <w:numId w:val="24"/>
        </w:numPr>
        <w:jc w:val="both"/>
        <w:rPr>
          <w:rFonts w:ascii="Calibri" w:hAnsi="Calibri"/>
          <w:sz w:val="22"/>
          <w:szCs w:val="22"/>
          <w:lang w:eastAsia="en-GB"/>
        </w:rPr>
      </w:pPr>
      <w:r>
        <w:rPr>
          <w:rFonts w:ascii="Calibri" w:hAnsi="Calibri"/>
          <w:sz w:val="22"/>
          <w:szCs w:val="22"/>
          <w:lang w:eastAsia="en-GB"/>
        </w:rPr>
        <w:t xml:space="preserve">work of </w:t>
      </w:r>
      <w:r w:rsidR="00E64D37">
        <w:rPr>
          <w:rFonts w:ascii="Calibri" w:hAnsi="Calibri"/>
          <w:sz w:val="22"/>
          <w:szCs w:val="22"/>
          <w:lang w:eastAsia="en-GB"/>
        </w:rPr>
        <w:t xml:space="preserve">our </w:t>
      </w:r>
      <w:r>
        <w:rPr>
          <w:rFonts w:ascii="Calibri" w:hAnsi="Calibri"/>
          <w:sz w:val="22"/>
          <w:szCs w:val="22"/>
          <w:lang w:eastAsia="en-GB"/>
        </w:rPr>
        <w:t xml:space="preserve">external investment </w:t>
      </w:r>
      <w:proofErr w:type="gramStart"/>
      <w:r>
        <w:rPr>
          <w:rFonts w:ascii="Calibri" w:hAnsi="Calibri"/>
          <w:sz w:val="22"/>
          <w:szCs w:val="22"/>
          <w:lang w:eastAsia="en-GB"/>
        </w:rPr>
        <w:t>manager</w:t>
      </w:r>
      <w:r w:rsidR="00E64D37">
        <w:rPr>
          <w:rFonts w:ascii="Calibri" w:hAnsi="Calibri"/>
          <w:sz w:val="22"/>
          <w:szCs w:val="22"/>
          <w:lang w:eastAsia="en-GB"/>
        </w:rPr>
        <w:t>s</w:t>
      </w:r>
      <w:r w:rsidR="00C93111">
        <w:rPr>
          <w:rFonts w:ascii="Calibri" w:hAnsi="Calibri"/>
          <w:sz w:val="22"/>
          <w:szCs w:val="22"/>
          <w:lang w:eastAsia="en-GB"/>
        </w:rPr>
        <w:t>;</w:t>
      </w:r>
      <w:proofErr w:type="gramEnd"/>
    </w:p>
    <w:p w14:paraId="1696D319" w14:textId="2B12AEB6" w:rsidR="00534D5C" w:rsidRDefault="0086251F" w:rsidP="00534D5C">
      <w:pPr>
        <w:pStyle w:val="NumberedParagraph"/>
        <w:numPr>
          <w:ilvl w:val="0"/>
          <w:numId w:val="24"/>
        </w:numPr>
        <w:jc w:val="both"/>
        <w:rPr>
          <w:rFonts w:ascii="Calibri" w:hAnsi="Calibri"/>
          <w:sz w:val="22"/>
          <w:szCs w:val="22"/>
          <w:lang w:eastAsia="en-GB"/>
        </w:rPr>
      </w:pPr>
      <w:r>
        <w:rPr>
          <w:rFonts w:ascii="Calibri" w:hAnsi="Calibri"/>
          <w:sz w:val="22"/>
          <w:szCs w:val="22"/>
          <w:lang w:eastAsia="en-GB"/>
        </w:rPr>
        <w:t>participation in c</w:t>
      </w:r>
      <w:r w:rsidR="00E64D37">
        <w:rPr>
          <w:rFonts w:ascii="Calibri" w:hAnsi="Calibri"/>
          <w:sz w:val="22"/>
          <w:szCs w:val="22"/>
          <w:lang w:eastAsia="en-GB"/>
        </w:rPr>
        <w:t xml:space="preserve">lass </w:t>
      </w:r>
      <w:r>
        <w:rPr>
          <w:rFonts w:ascii="Calibri" w:hAnsi="Calibri"/>
          <w:sz w:val="22"/>
          <w:szCs w:val="22"/>
          <w:lang w:eastAsia="en-GB"/>
        </w:rPr>
        <w:t>a</w:t>
      </w:r>
      <w:r w:rsidR="00E64D37">
        <w:rPr>
          <w:rFonts w:ascii="Calibri" w:hAnsi="Calibri"/>
          <w:sz w:val="22"/>
          <w:szCs w:val="22"/>
          <w:lang w:eastAsia="en-GB"/>
        </w:rPr>
        <w:t xml:space="preserve">ctions; </w:t>
      </w:r>
      <w:r w:rsidR="00C93111">
        <w:rPr>
          <w:rFonts w:ascii="Calibri" w:hAnsi="Calibri"/>
          <w:sz w:val="22"/>
          <w:szCs w:val="22"/>
          <w:lang w:eastAsia="en-GB"/>
        </w:rPr>
        <w:t>and</w:t>
      </w:r>
    </w:p>
    <w:p w14:paraId="19366D41" w14:textId="707079D3" w:rsidR="0012029C" w:rsidRDefault="00C93111" w:rsidP="00534D5C">
      <w:pPr>
        <w:pStyle w:val="NumberedParagraph"/>
        <w:numPr>
          <w:ilvl w:val="0"/>
          <w:numId w:val="24"/>
        </w:numPr>
        <w:jc w:val="both"/>
        <w:rPr>
          <w:rFonts w:ascii="Calibri" w:hAnsi="Calibri"/>
          <w:sz w:val="22"/>
          <w:szCs w:val="22"/>
          <w:lang w:eastAsia="en-GB"/>
        </w:rPr>
      </w:pPr>
      <w:r>
        <w:rPr>
          <w:rFonts w:ascii="Calibri" w:hAnsi="Calibri"/>
          <w:sz w:val="22"/>
          <w:szCs w:val="22"/>
          <w:lang w:eastAsia="en-GB"/>
        </w:rPr>
        <w:t>work of the internal team.</w:t>
      </w:r>
    </w:p>
    <w:p w14:paraId="580A27FC" w14:textId="77777777" w:rsidR="0012029C" w:rsidRDefault="0012029C" w:rsidP="0012029C">
      <w:pPr>
        <w:pStyle w:val="NumberedParagraph"/>
        <w:tabs>
          <w:tab w:val="clear" w:pos="720"/>
        </w:tabs>
        <w:jc w:val="both"/>
        <w:rPr>
          <w:rFonts w:ascii="Calibri" w:hAnsi="Calibri"/>
          <w:sz w:val="22"/>
          <w:szCs w:val="22"/>
          <w:lang w:eastAsia="en-GB"/>
        </w:rPr>
      </w:pPr>
    </w:p>
    <w:p w14:paraId="18ACD26E" w14:textId="5161BD9D" w:rsidR="0012029C" w:rsidRDefault="00DD3CAA" w:rsidP="007B0CA5">
      <w:pPr>
        <w:pStyle w:val="NumberedParagraph"/>
        <w:tabs>
          <w:tab w:val="clear" w:pos="720"/>
        </w:tabs>
        <w:jc w:val="both"/>
        <w:rPr>
          <w:rFonts w:ascii="Calibri" w:hAnsi="Calibri"/>
          <w:sz w:val="22"/>
          <w:szCs w:val="22"/>
        </w:rPr>
      </w:pPr>
      <w:r>
        <w:rPr>
          <w:rFonts w:ascii="Calibri" w:hAnsi="Calibri"/>
          <w:sz w:val="22"/>
          <w:szCs w:val="22"/>
        </w:rPr>
        <w:t xml:space="preserve">We believe that </w:t>
      </w:r>
      <w:r w:rsidR="00E64D37">
        <w:rPr>
          <w:rFonts w:ascii="Calibri" w:hAnsi="Calibri"/>
          <w:sz w:val="22"/>
          <w:szCs w:val="22"/>
        </w:rPr>
        <w:t xml:space="preserve">this combination </w:t>
      </w:r>
      <w:r>
        <w:rPr>
          <w:rFonts w:ascii="Calibri" w:hAnsi="Calibri"/>
          <w:sz w:val="22"/>
          <w:szCs w:val="22"/>
        </w:rPr>
        <w:t xml:space="preserve">enables us to provide the </w:t>
      </w:r>
      <w:r w:rsidR="00E64D37">
        <w:rPr>
          <w:rFonts w:ascii="Calibri" w:hAnsi="Calibri"/>
          <w:sz w:val="22"/>
          <w:szCs w:val="22"/>
        </w:rPr>
        <w:t xml:space="preserve">appropriate </w:t>
      </w:r>
      <w:r>
        <w:rPr>
          <w:rFonts w:ascii="Calibri" w:hAnsi="Calibri"/>
          <w:sz w:val="22"/>
          <w:szCs w:val="22"/>
        </w:rPr>
        <w:t>standards of stewardship on behalf of the beneficiaries of the Fund</w:t>
      </w:r>
      <w:r w:rsidR="007B0CA5">
        <w:rPr>
          <w:rFonts w:ascii="Calibri" w:hAnsi="Calibri"/>
          <w:sz w:val="22"/>
          <w:szCs w:val="22"/>
        </w:rPr>
        <w:t xml:space="preserve"> through their monitoring of </w:t>
      </w:r>
      <w:r w:rsidR="00DA2A76">
        <w:rPr>
          <w:rFonts w:ascii="Calibri" w:hAnsi="Calibri"/>
          <w:sz w:val="22"/>
          <w:szCs w:val="22"/>
        </w:rPr>
        <w:t>shareholdings</w:t>
      </w:r>
      <w:r w:rsidR="007B0CA5">
        <w:rPr>
          <w:rFonts w:ascii="Calibri" w:hAnsi="Calibri"/>
          <w:sz w:val="22"/>
          <w:szCs w:val="22"/>
        </w:rPr>
        <w:t xml:space="preserve">, so that we can </w:t>
      </w:r>
      <w:r>
        <w:rPr>
          <w:rFonts w:ascii="Calibri" w:hAnsi="Calibri"/>
          <w:sz w:val="22"/>
          <w:szCs w:val="22"/>
        </w:rPr>
        <w:t>fulfil</w:t>
      </w:r>
      <w:r w:rsidR="000A6CF6" w:rsidRPr="00766606">
        <w:rPr>
          <w:rFonts w:ascii="Calibri" w:hAnsi="Calibri"/>
          <w:sz w:val="22"/>
          <w:szCs w:val="22"/>
        </w:rPr>
        <w:t xml:space="preserve"> our fid</w:t>
      </w:r>
      <w:r w:rsidR="0012029C">
        <w:rPr>
          <w:rFonts w:ascii="Calibri" w:hAnsi="Calibri"/>
          <w:sz w:val="22"/>
          <w:szCs w:val="22"/>
        </w:rPr>
        <w:t>uciary responsibilities as long-</w:t>
      </w:r>
      <w:r w:rsidR="000A6CF6" w:rsidRPr="00766606">
        <w:rPr>
          <w:rFonts w:ascii="Calibri" w:hAnsi="Calibri"/>
          <w:sz w:val="22"/>
          <w:szCs w:val="22"/>
        </w:rPr>
        <w:t xml:space="preserve">term shareholders. </w:t>
      </w:r>
    </w:p>
    <w:p w14:paraId="39117E4F" w14:textId="77777777" w:rsidR="007B0CA5" w:rsidRPr="00744D97" w:rsidRDefault="007B0CA5" w:rsidP="007B0CA5">
      <w:pPr>
        <w:pStyle w:val="NumberedParagraph"/>
        <w:tabs>
          <w:tab w:val="clear" w:pos="720"/>
        </w:tabs>
        <w:jc w:val="both"/>
        <w:rPr>
          <w:rFonts w:ascii="Calibri" w:hAnsi="Calibri"/>
          <w:sz w:val="22"/>
          <w:szCs w:val="22"/>
        </w:rPr>
      </w:pPr>
    </w:p>
    <w:p w14:paraId="4814781E" w14:textId="4E961C67" w:rsidR="000A6CF6" w:rsidRPr="00744D97" w:rsidRDefault="00C93111" w:rsidP="00C93111">
      <w:pPr>
        <w:pStyle w:val="Paragraph"/>
        <w:numPr>
          <w:ilvl w:val="0"/>
          <w:numId w:val="0"/>
        </w:numPr>
        <w:autoSpaceDE w:val="0"/>
        <w:autoSpaceDN w:val="0"/>
        <w:adjustRightInd w:val="0"/>
        <w:spacing w:after="200"/>
        <w:rPr>
          <w:rFonts w:ascii="Calibri" w:hAnsi="Calibri" w:cs="Arial"/>
          <w:sz w:val="22"/>
          <w:szCs w:val="22"/>
        </w:rPr>
      </w:pPr>
      <w:r>
        <w:rPr>
          <w:rFonts w:ascii="Calibri" w:hAnsi="Calibri" w:cs="Arial"/>
          <w:sz w:val="22"/>
          <w:szCs w:val="22"/>
        </w:rPr>
        <w:t xml:space="preserve">Through our </w:t>
      </w:r>
      <w:r w:rsidR="00E64D37">
        <w:rPr>
          <w:rFonts w:ascii="Calibri" w:hAnsi="Calibri" w:cs="Arial"/>
          <w:sz w:val="22"/>
          <w:szCs w:val="22"/>
        </w:rPr>
        <w:t xml:space="preserve">engagement of </w:t>
      </w:r>
      <w:r w:rsidR="00955641">
        <w:rPr>
          <w:rFonts w:ascii="Calibri" w:hAnsi="Calibri" w:cs="Arial"/>
          <w:sz w:val="22"/>
          <w:szCs w:val="22"/>
        </w:rPr>
        <w:t xml:space="preserve">EOS </w:t>
      </w:r>
      <w:r w:rsidR="00E64D37">
        <w:rPr>
          <w:rFonts w:ascii="Calibri" w:hAnsi="Calibri" w:cs="Arial"/>
          <w:sz w:val="22"/>
          <w:szCs w:val="22"/>
        </w:rPr>
        <w:t xml:space="preserve">and our </w:t>
      </w:r>
      <w:r>
        <w:rPr>
          <w:rFonts w:ascii="Calibri" w:hAnsi="Calibri" w:cs="Arial"/>
          <w:sz w:val="22"/>
          <w:szCs w:val="22"/>
        </w:rPr>
        <w:t xml:space="preserve">membership of LAPFF, we keep informed of potential issues of concern at both individual companies and across the </w:t>
      </w:r>
      <w:proofErr w:type="gramStart"/>
      <w:r>
        <w:rPr>
          <w:rFonts w:ascii="Calibri" w:hAnsi="Calibri" w:cs="Arial"/>
          <w:sz w:val="22"/>
          <w:szCs w:val="22"/>
        </w:rPr>
        <w:t>market as a whole, which</w:t>
      </w:r>
      <w:proofErr w:type="gramEnd"/>
      <w:r>
        <w:rPr>
          <w:rFonts w:ascii="Calibri" w:hAnsi="Calibri" w:cs="Arial"/>
          <w:sz w:val="22"/>
          <w:szCs w:val="22"/>
        </w:rPr>
        <w:t xml:space="preserve"> leads to collaborative engagements in which the Fund participate</w:t>
      </w:r>
      <w:r w:rsidR="00981A3C">
        <w:rPr>
          <w:rFonts w:ascii="Calibri" w:hAnsi="Calibri" w:cs="Arial"/>
          <w:sz w:val="22"/>
          <w:szCs w:val="22"/>
        </w:rPr>
        <w:t>s</w:t>
      </w:r>
      <w:r>
        <w:rPr>
          <w:rFonts w:ascii="Calibri" w:hAnsi="Calibri" w:cs="Arial"/>
          <w:sz w:val="22"/>
          <w:szCs w:val="22"/>
        </w:rPr>
        <w:t xml:space="preserve">.   </w:t>
      </w:r>
    </w:p>
    <w:p w14:paraId="5450F1DC" w14:textId="556460FB" w:rsidR="00C93111" w:rsidRDefault="00E64D37" w:rsidP="00C93111">
      <w:pPr>
        <w:pStyle w:val="text"/>
        <w:jc w:val="both"/>
        <w:rPr>
          <w:rFonts w:ascii="Calibri" w:hAnsi="Calibri"/>
          <w:color w:val="auto"/>
          <w:sz w:val="22"/>
          <w:szCs w:val="22"/>
          <w:lang w:eastAsia="en-US"/>
        </w:rPr>
      </w:pPr>
      <w:r>
        <w:rPr>
          <w:rFonts w:ascii="Calibri" w:hAnsi="Calibri"/>
          <w:color w:val="auto"/>
          <w:sz w:val="22"/>
          <w:szCs w:val="22"/>
          <w:lang w:eastAsia="en-US"/>
        </w:rPr>
        <w:t xml:space="preserve">The various external investment managers we utilise, including Legal and General, Newton and Schroders operate their own stewardship and engagement initiatives in relation to investee companies and provide regular reports </w:t>
      </w:r>
      <w:r w:rsidR="002A25D4">
        <w:rPr>
          <w:rFonts w:ascii="Calibri" w:hAnsi="Calibri"/>
          <w:color w:val="auto"/>
          <w:sz w:val="22"/>
          <w:szCs w:val="22"/>
          <w:lang w:eastAsia="en-US"/>
        </w:rPr>
        <w:t xml:space="preserve">on these issues.  This information is made available to those responsible for the governance of the Fund. </w:t>
      </w:r>
    </w:p>
    <w:p w14:paraId="405B7264" w14:textId="574C2B4F" w:rsidR="0050071B" w:rsidRDefault="00981A3C" w:rsidP="00C93111">
      <w:pPr>
        <w:pStyle w:val="text"/>
        <w:jc w:val="both"/>
        <w:rPr>
          <w:rFonts w:ascii="Calibri" w:hAnsi="Calibri"/>
          <w:color w:val="auto"/>
          <w:sz w:val="22"/>
          <w:szCs w:val="22"/>
          <w:lang w:eastAsia="en-US"/>
        </w:rPr>
      </w:pPr>
      <w:r>
        <w:rPr>
          <w:rFonts w:ascii="Calibri" w:hAnsi="Calibri"/>
          <w:color w:val="auto"/>
          <w:sz w:val="22"/>
          <w:szCs w:val="22"/>
          <w:lang w:eastAsia="en-US"/>
        </w:rPr>
        <w:t xml:space="preserve">Where investment management is undertaken by </w:t>
      </w:r>
      <w:r w:rsidR="004E118D">
        <w:rPr>
          <w:rFonts w:ascii="Calibri" w:hAnsi="Calibri"/>
          <w:color w:val="auto"/>
          <w:sz w:val="22"/>
          <w:szCs w:val="22"/>
          <w:lang w:eastAsia="en-US"/>
        </w:rPr>
        <w:t>LPFI</w:t>
      </w:r>
      <w:r w:rsidR="002A25D4">
        <w:rPr>
          <w:rFonts w:ascii="Calibri" w:hAnsi="Calibri"/>
          <w:color w:val="auto"/>
          <w:sz w:val="22"/>
          <w:szCs w:val="22"/>
          <w:lang w:eastAsia="en-US"/>
        </w:rPr>
        <w:t xml:space="preserve"> on behalf of the Fund, </w:t>
      </w:r>
      <w:r w:rsidR="00C93111">
        <w:rPr>
          <w:rFonts w:ascii="Calibri" w:hAnsi="Calibri"/>
          <w:color w:val="auto"/>
          <w:sz w:val="22"/>
          <w:szCs w:val="22"/>
          <w:lang w:eastAsia="en-US"/>
        </w:rPr>
        <w:t xml:space="preserve">environmental, social and governance (ESG) issues </w:t>
      </w:r>
      <w:r>
        <w:rPr>
          <w:rFonts w:ascii="Calibri" w:hAnsi="Calibri"/>
          <w:color w:val="auto"/>
          <w:sz w:val="22"/>
          <w:szCs w:val="22"/>
          <w:lang w:eastAsia="en-US"/>
        </w:rPr>
        <w:t>are integrated within the L</w:t>
      </w:r>
      <w:r w:rsidR="008B4C26">
        <w:rPr>
          <w:rFonts w:ascii="Calibri" w:hAnsi="Calibri"/>
          <w:color w:val="auto"/>
          <w:sz w:val="22"/>
          <w:szCs w:val="22"/>
          <w:lang w:eastAsia="en-US"/>
        </w:rPr>
        <w:t>PFI</w:t>
      </w:r>
      <w:r>
        <w:rPr>
          <w:rFonts w:ascii="Calibri" w:hAnsi="Calibri"/>
          <w:color w:val="auto"/>
          <w:sz w:val="22"/>
          <w:szCs w:val="22"/>
          <w:lang w:eastAsia="en-US"/>
        </w:rPr>
        <w:t xml:space="preserve"> investment </w:t>
      </w:r>
      <w:r w:rsidR="00C93111">
        <w:rPr>
          <w:rFonts w:ascii="Calibri" w:hAnsi="Calibri"/>
          <w:color w:val="auto"/>
          <w:sz w:val="22"/>
          <w:szCs w:val="22"/>
          <w:lang w:eastAsia="en-US"/>
        </w:rPr>
        <w:t>decision making</w:t>
      </w:r>
      <w:r w:rsidR="002A25D4">
        <w:rPr>
          <w:rFonts w:ascii="Calibri" w:hAnsi="Calibri"/>
          <w:color w:val="auto"/>
          <w:sz w:val="22"/>
          <w:szCs w:val="22"/>
          <w:lang w:eastAsia="en-US"/>
        </w:rPr>
        <w:t xml:space="preserve"> </w:t>
      </w:r>
      <w:r>
        <w:rPr>
          <w:rFonts w:ascii="Calibri" w:hAnsi="Calibri"/>
          <w:color w:val="auto"/>
          <w:sz w:val="22"/>
          <w:szCs w:val="22"/>
          <w:lang w:eastAsia="en-US"/>
        </w:rPr>
        <w:t xml:space="preserve">process together with direct engagement where feasible with investee </w:t>
      </w:r>
      <w:r w:rsidR="00C02031">
        <w:rPr>
          <w:rFonts w:ascii="Calibri" w:hAnsi="Calibri"/>
          <w:color w:val="auto"/>
          <w:sz w:val="22"/>
          <w:szCs w:val="22"/>
          <w:lang w:eastAsia="en-US"/>
        </w:rPr>
        <w:t xml:space="preserve">companies. </w:t>
      </w:r>
    </w:p>
    <w:p w14:paraId="18D18289" w14:textId="77777777" w:rsidR="00FC4041" w:rsidRPr="00766606" w:rsidRDefault="00FC4041" w:rsidP="00233588">
      <w:pPr>
        <w:autoSpaceDE w:val="0"/>
        <w:autoSpaceDN w:val="0"/>
        <w:adjustRightInd w:val="0"/>
        <w:spacing w:before="480"/>
        <w:rPr>
          <w:rFonts w:ascii="Calibri" w:hAnsi="Calibri" w:cs="Arial"/>
          <w:b/>
          <w:i/>
        </w:rPr>
      </w:pPr>
      <w:r w:rsidRPr="00766606">
        <w:rPr>
          <w:rFonts w:ascii="Calibri" w:hAnsi="Calibri" w:cs="Arial"/>
          <w:b/>
          <w:i/>
        </w:rPr>
        <w:t>Principle 2:</w:t>
      </w:r>
      <w:r w:rsidRPr="00766606">
        <w:rPr>
          <w:rFonts w:ascii="Calibri" w:hAnsi="Calibri" w:cs="Arial"/>
          <w:b/>
        </w:rPr>
        <w:t xml:space="preserve"> </w:t>
      </w:r>
      <w:r w:rsidRPr="00766606">
        <w:rPr>
          <w:rFonts w:ascii="Calibri" w:hAnsi="Calibri" w:cs="Arial"/>
          <w:b/>
          <w:i/>
        </w:rPr>
        <w:t>Institutional investors should have a robust policy on managing conflicts of interest in relation to stewardship and this policy should be publicly disclosed.</w:t>
      </w:r>
    </w:p>
    <w:p w14:paraId="38898B93" w14:textId="3C2BC331" w:rsidR="00FF4A00" w:rsidRDefault="00FF4A00" w:rsidP="005A597A">
      <w:pPr>
        <w:rPr>
          <w:rFonts w:ascii="Calibri" w:eastAsia="Times New Roman" w:hAnsi="Calibri" w:cs="Arial"/>
          <w:lang w:eastAsia="en-GB"/>
        </w:rPr>
      </w:pPr>
      <w:r w:rsidRPr="00D87001">
        <w:rPr>
          <w:rFonts w:ascii="Calibri" w:eastAsia="Times New Roman" w:hAnsi="Calibri" w:cs="Arial"/>
          <w:lang w:eastAsia="en-GB"/>
        </w:rPr>
        <w:t>The Fund</w:t>
      </w:r>
      <w:r w:rsidR="0086251F">
        <w:rPr>
          <w:rFonts w:ascii="Calibri" w:eastAsia="Times New Roman" w:hAnsi="Calibri" w:cs="Arial"/>
          <w:lang w:eastAsia="en-GB"/>
        </w:rPr>
        <w:t>’</w:t>
      </w:r>
      <w:r w:rsidRPr="00D87001">
        <w:rPr>
          <w:rFonts w:ascii="Calibri" w:eastAsia="Times New Roman" w:hAnsi="Calibri" w:cs="Arial"/>
          <w:lang w:eastAsia="en-GB"/>
        </w:rPr>
        <w:t>s efforts to manage its potential conflicts of interest can be summarised below:</w:t>
      </w:r>
    </w:p>
    <w:p w14:paraId="3F1DB2A7" w14:textId="68C8A890" w:rsidR="00233588" w:rsidRPr="003673D4" w:rsidRDefault="00233588" w:rsidP="00320171">
      <w:pPr>
        <w:pStyle w:val="Paragraph"/>
        <w:numPr>
          <w:ilvl w:val="0"/>
          <w:numId w:val="12"/>
        </w:numPr>
        <w:autoSpaceDE w:val="0"/>
        <w:autoSpaceDN w:val="0"/>
        <w:adjustRightInd w:val="0"/>
        <w:spacing w:after="200"/>
        <w:ind w:left="714" w:hanging="357"/>
        <w:rPr>
          <w:rFonts w:ascii="Calibri" w:hAnsi="Calibri" w:cs="Arial"/>
          <w:sz w:val="22"/>
          <w:szCs w:val="22"/>
        </w:rPr>
      </w:pPr>
      <w:r w:rsidRPr="003673D4">
        <w:rPr>
          <w:rFonts w:ascii="Calibri" w:hAnsi="Calibri" w:cs="Arial"/>
          <w:sz w:val="22"/>
          <w:szCs w:val="22"/>
        </w:rPr>
        <w:lastRenderedPageBreak/>
        <w:t>The Fund has a Conflicts of Interest policy which explains the responsibilities o</w:t>
      </w:r>
      <w:r w:rsidR="0086251F" w:rsidRPr="003673D4">
        <w:rPr>
          <w:rFonts w:ascii="Calibri" w:hAnsi="Calibri" w:cs="Arial"/>
          <w:sz w:val="22"/>
          <w:szCs w:val="22"/>
        </w:rPr>
        <w:t>f</w:t>
      </w:r>
      <w:r w:rsidRPr="003673D4">
        <w:rPr>
          <w:rFonts w:ascii="Calibri" w:hAnsi="Calibri" w:cs="Arial"/>
          <w:sz w:val="22"/>
          <w:szCs w:val="22"/>
        </w:rPr>
        <w:t xml:space="preserve"> those responsible for Fund governance and describes how conflicts require to be managed. </w:t>
      </w:r>
      <w:r w:rsidR="003673D4" w:rsidRPr="003673D4">
        <w:rPr>
          <w:rFonts w:ascii="Calibri" w:hAnsi="Calibri" w:cs="Arial"/>
          <w:sz w:val="22"/>
          <w:szCs w:val="22"/>
        </w:rPr>
        <w:t xml:space="preserve"> </w:t>
      </w:r>
      <w:r w:rsidRPr="003673D4">
        <w:rPr>
          <w:rFonts w:ascii="Calibri" w:hAnsi="Calibri" w:cs="Arial"/>
          <w:sz w:val="22"/>
          <w:szCs w:val="22"/>
        </w:rPr>
        <w:t xml:space="preserve">Pensions Committee </w:t>
      </w:r>
      <w:r w:rsidR="003673D4">
        <w:rPr>
          <w:rFonts w:ascii="Calibri" w:hAnsi="Calibri" w:cs="Arial"/>
          <w:sz w:val="22"/>
          <w:szCs w:val="22"/>
        </w:rPr>
        <w:t xml:space="preserve">and Pension Board </w:t>
      </w:r>
      <w:r w:rsidRPr="003673D4">
        <w:rPr>
          <w:rFonts w:ascii="Calibri" w:hAnsi="Calibri" w:cs="Arial"/>
          <w:sz w:val="22"/>
          <w:szCs w:val="22"/>
        </w:rPr>
        <w:t xml:space="preserve">members are required to make declarations of interest prior to Committee meetings. </w:t>
      </w:r>
    </w:p>
    <w:p w14:paraId="484961C2" w14:textId="62AB950F" w:rsidR="00367264" w:rsidRPr="00367264" w:rsidRDefault="003E0565" w:rsidP="00367264">
      <w:pPr>
        <w:pStyle w:val="Paragraph"/>
        <w:numPr>
          <w:ilvl w:val="0"/>
          <w:numId w:val="12"/>
        </w:numPr>
        <w:autoSpaceDE w:val="0"/>
        <w:autoSpaceDN w:val="0"/>
        <w:adjustRightInd w:val="0"/>
        <w:spacing w:after="200"/>
        <w:ind w:left="714" w:hanging="357"/>
        <w:rPr>
          <w:rFonts w:ascii="Calibri" w:hAnsi="Calibri" w:cs="Arial"/>
          <w:sz w:val="22"/>
          <w:szCs w:val="22"/>
        </w:rPr>
      </w:pPr>
      <w:r w:rsidRPr="00367264">
        <w:rPr>
          <w:rFonts w:ascii="Calibri" w:hAnsi="Calibri" w:cs="Arial"/>
          <w:sz w:val="22"/>
          <w:szCs w:val="22"/>
        </w:rPr>
        <w:t>We also encourage the asset managers employed by the Fund</w:t>
      </w:r>
      <w:r w:rsidR="0086251F">
        <w:rPr>
          <w:rFonts w:ascii="Calibri" w:hAnsi="Calibri" w:cs="Arial"/>
          <w:sz w:val="22"/>
          <w:szCs w:val="22"/>
        </w:rPr>
        <w:t>’</w:t>
      </w:r>
      <w:r w:rsidRPr="00367264">
        <w:rPr>
          <w:rFonts w:ascii="Calibri" w:hAnsi="Calibri" w:cs="Arial"/>
          <w:sz w:val="22"/>
          <w:szCs w:val="22"/>
        </w:rPr>
        <w:t xml:space="preserve">s to have effective policies addressing potential conflicts of interest. </w:t>
      </w:r>
    </w:p>
    <w:p w14:paraId="7D541417" w14:textId="2EF4D83A" w:rsidR="00367264" w:rsidRDefault="003E0565" w:rsidP="009D594D">
      <w:pPr>
        <w:pStyle w:val="Paragraph"/>
        <w:numPr>
          <w:ilvl w:val="0"/>
          <w:numId w:val="12"/>
        </w:numPr>
        <w:autoSpaceDE w:val="0"/>
        <w:autoSpaceDN w:val="0"/>
        <w:adjustRightInd w:val="0"/>
        <w:spacing w:after="0"/>
        <w:ind w:left="714" w:hanging="357"/>
        <w:rPr>
          <w:rFonts w:ascii="Calibri" w:hAnsi="Calibri" w:cs="Arial"/>
          <w:sz w:val="22"/>
          <w:szCs w:val="22"/>
        </w:rPr>
      </w:pPr>
      <w:r w:rsidRPr="00367264">
        <w:rPr>
          <w:rFonts w:ascii="Calibri" w:hAnsi="Calibri" w:cs="Arial"/>
          <w:sz w:val="22"/>
          <w:szCs w:val="22"/>
        </w:rPr>
        <w:t>Our policy of constructive engagement with companies is consistent with the Fund</w:t>
      </w:r>
      <w:r w:rsidR="00051CA5">
        <w:rPr>
          <w:rFonts w:ascii="Calibri" w:hAnsi="Calibri" w:cs="Arial"/>
          <w:sz w:val="22"/>
          <w:szCs w:val="22"/>
        </w:rPr>
        <w:t>’</w:t>
      </w:r>
      <w:r w:rsidRPr="00367264">
        <w:rPr>
          <w:rFonts w:ascii="Calibri" w:hAnsi="Calibri" w:cs="Arial"/>
          <w:sz w:val="22"/>
          <w:szCs w:val="22"/>
        </w:rPr>
        <w:t>s fiduciary responsibilities.</w:t>
      </w:r>
      <w:r w:rsidR="005A7D4C">
        <w:rPr>
          <w:rFonts w:ascii="Calibri" w:hAnsi="Calibri" w:cs="Arial"/>
          <w:sz w:val="22"/>
          <w:szCs w:val="22"/>
        </w:rPr>
        <w:br/>
      </w:r>
    </w:p>
    <w:p w14:paraId="7F2487A8" w14:textId="77777777" w:rsidR="003E0565" w:rsidRPr="003E0565" w:rsidRDefault="003E0565" w:rsidP="009D594D">
      <w:pPr>
        <w:tabs>
          <w:tab w:val="left" w:pos="0"/>
        </w:tabs>
        <w:spacing w:before="0" w:after="0" w:line="240" w:lineRule="auto"/>
        <w:rPr>
          <w:rFonts w:ascii="Calibri" w:hAnsi="Calibri" w:cs="Arial"/>
          <w:b/>
        </w:rPr>
      </w:pPr>
      <w:r w:rsidRPr="003E0565">
        <w:rPr>
          <w:rFonts w:ascii="Calibri" w:hAnsi="Calibri" w:cs="Arial"/>
          <w:b/>
        </w:rPr>
        <w:t>Principle 3</w:t>
      </w:r>
      <w:r w:rsidR="005A597A">
        <w:rPr>
          <w:rFonts w:ascii="Calibri" w:hAnsi="Calibri" w:cs="Arial"/>
          <w:b/>
        </w:rPr>
        <w:t xml:space="preserve">: </w:t>
      </w:r>
      <w:r w:rsidRPr="003E0565">
        <w:rPr>
          <w:rFonts w:ascii="Calibri" w:hAnsi="Calibri" w:cs="Arial"/>
          <w:b/>
        </w:rPr>
        <w:t>Institutional investors should monitor their investee companies.</w:t>
      </w:r>
    </w:p>
    <w:p w14:paraId="377528CD" w14:textId="203258ED" w:rsidR="009D594D" w:rsidRDefault="00E31B7E" w:rsidP="00E579FD">
      <w:pPr>
        <w:autoSpaceDE w:val="0"/>
        <w:autoSpaceDN w:val="0"/>
        <w:adjustRightInd w:val="0"/>
        <w:spacing w:before="60" w:after="60"/>
        <w:ind w:left="-5"/>
        <w:jc w:val="both"/>
        <w:rPr>
          <w:rFonts w:ascii="Calibri" w:eastAsia="Times New Roman" w:hAnsi="Calibri" w:cs="Arial"/>
          <w:lang w:eastAsia="en-GB"/>
        </w:rPr>
      </w:pPr>
      <w:r>
        <w:rPr>
          <w:rFonts w:ascii="Calibri" w:eastAsia="Times New Roman" w:hAnsi="Calibri" w:cs="Arial"/>
          <w:lang w:eastAsia="en-GB"/>
        </w:rPr>
        <w:t xml:space="preserve">The Fund </w:t>
      </w:r>
      <w:r w:rsidR="00D65F0B">
        <w:rPr>
          <w:rFonts w:ascii="Calibri" w:eastAsia="Times New Roman" w:hAnsi="Calibri" w:cs="Arial"/>
          <w:lang w:eastAsia="en-GB"/>
        </w:rPr>
        <w:t xml:space="preserve">monitors the activities of its investee companies by relying on the combined services provided by </w:t>
      </w:r>
      <w:r w:rsidR="00990F86">
        <w:rPr>
          <w:rFonts w:ascii="Calibri" w:eastAsia="Times New Roman" w:hAnsi="Calibri" w:cs="Arial"/>
          <w:lang w:eastAsia="en-GB"/>
        </w:rPr>
        <w:t>EOS</w:t>
      </w:r>
      <w:r w:rsidR="00D65F0B">
        <w:rPr>
          <w:rFonts w:ascii="Calibri" w:eastAsia="Times New Roman" w:hAnsi="Calibri" w:cs="Arial"/>
          <w:lang w:eastAsia="en-GB"/>
        </w:rPr>
        <w:t xml:space="preserve">, LAPFF and its external investment managers.  </w:t>
      </w:r>
      <w:r w:rsidR="003E0565" w:rsidRPr="005A597A">
        <w:rPr>
          <w:rFonts w:ascii="Calibri" w:eastAsia="Times New Roman" w:hAnsi="Calibri" w:cs="Arial"/>
          <w:lang w:eastAsia="en-GB"/>
        </w:rPr>
        <w:t xml:space="preserve"> </w:t>
      </w:r>
      <w:r w:rsidR="00367264">
        <w:rPr>
          <w:rFonts w:ascii="Calibri" w:eastAsia="Times New Roman" w:hAnsi="Calibri" w:cs="Arial"/>
          <w:lang w:eastAsia="en-GB"/>
        </w:rPr>
        <w:t xml:space="preserve"> </w:t>
      </w:r>
    </w:p>
    <w:p w14:paraId="24AB0230" w14:textId="77777777" w:rsidR="009D594D" w:rsidRPr="009D594D" w:rsidRDefault="003E0565" w:rsidP="009D594D">
      <w:pPr>
        <w:pStyle w:val="Paragraph"/>
        <w:numPr>
          <w:ilvl w:val="0"/>
          <w:numId w:val="12"/>
        </w:numPr>
        <w:autoSpaceDE w:val="0"/>
        <w:autoSpaceDN w:val="0"/>
        <w:adjustRightInd w:val="0"/>
        <w:spacing w:before="120" w:after="200"/>
        <w:ind w:left="714" w:hanging="357"/>
        <w:rPr>
          <w:rFonts w:ascii="Calibri" w:hAnsi="Calibri" w:cs="Arial"/>
          <w:sz w:val="22"/>
          <w:szCs w:val="22"/>
        </w:rPr>
      </w:pPr>
      <w:r w:rsidRPr="009D594D">
        <w:rPr>
          <w:rFonts w:ascii="Calibri" w:hAnsi="Calibri" w:cs="Arial"/>
          <w:sz w:val="22"/>
          <w:szCs w:val="22"/>
        </w:rPr>
        <w:t xml:space="preserve">We expect them to monitor companies, intervene where necessary, and report back regularly on activity. </w:t>
      </w:r>
      <w:r w:rsidR="00367264" w:rsidRPr="009D594D">
        <w:rPr>
          <w:rFonts w:ascii="Calibri" w:hAnsi="Calibri" w:cs="Arial"/>
          <w:sz w:val="22"/>
          <w:szCs w:val="22"/>
        </w:rPr>
        <w:t xml:space="preserve"> </w:t>
      </w:r>
    </w:p>
    <w:p w14:paraId="4F7FAA60" w14:textId="11732CC2" w:rsidR="003E0565" w:rsidRPr="009D594D" w:rsidRDefault="009D594D" w:rsidP="009D594D">
      <w:pPr>
        <w:pStyle w:val="Paragraph"/>
        <w:numPr>
          <w:ilvl w:val="0"/>
          <w:numId w:val="12"/>
        </w:numPr>
        <w:autoSpaceDE w:val="0"/>
        <w:autoSpaceDN w:val="0"/>
        <w:adjustRightInd w:val="0"/>
        <w:spacing w:after="200"/>
        <w:ind w:left="714" w:hanging="357"/>
        <w:rPr>
          <w:rFonts w:ascii="Calibri" w:hAnsi="Calibri" w:cs="Arial"/>
          <w:sz w:val="22"/>
          <w:szCs w:val="22"/>
        </w:rPr>
      </w:pPr>
      <w:r>
        <w:rPr>
          <w:rFonts w:ascii="Calibri" w:hAnsi="Calibri" w:cs="Arial"/>
          <w:sz w:val="22"/>
          <w:szCs w:val="22"/>
        </w:rPr>
        <w:t xml:space="preserve">Activity is reported </w:t>
      </w:r>
      <w:r w:rsidR="000B0E0D">
        <w:rPr>
          <w:rFonts w:ascii="Calibri" w:hAnsi="Calibri" w:cs="Arial"/>
          <w:sz w:val="22"/>
          <w:szCs w:val="22"/>
        </w:rPr>
        <w:t xml:space="preserve">by means of </w:t>
      </w:r>
      <w:r w:rsidR="00857C0E">
        <w:rPr>
          <w:rFonts w:ascii="Calibri" w:hAnsi="Calibri" w:cs="Arial"/>
          <w:sz w:val="22"/>
          <w:szCs w:val="22"/>
        </w:rPr>
        <w:t xml:space="preserve">publicly available </w:t>
      </w:r>
      <w:r w:rsidR="000B0E0D">
        <w:rPr>
          <w:rFonts w:ascii="Calibri" w:hAnsi="Calibri" w:cs="Arial"/>
          <w:sz w:val="22"/>
          <w:szCs w:val="22"/>
        </w:rPr>
        <w:t xml:space="preserve">papers submitted to the Committee </w:t>
      </w:r>
      <w:r w:rsidR="00AF067A">
        <w:rPr>
          <w:rFonts w:ascii="Calibri" w:hAnsi="Calibri" w:cs="Arial"/>
          <w:sz w:val="22"/>
          <w:szCs w:val="22"/>
        </w:rPr>
        <w:t xml:space="preserve">on a </w:t>
      </w:r>
      <w:r w:rsidR="000B0E0D">
        <w:rPr>
          <w:rFonts w:ascii="Calibri" w:hAnsi="Calibri" w:cs="Arial"/>
          <w:sz w:val="22"/>
          <w:szCs w:val="22"/>
        </w:rPr>
        <w:t>quarterly</w:t>
      </w:r>
      <w:r w:rsidR="00AF067A">
        <w:rPr>
          <w:rFonts w:ascii="Calibri" w:hAnsi="Calibri" w:cs="Arial"/>
          <w:sz w:val="22"/>
          <w:szCs w:val="22"/>
        </w:rPr>
        <w:t xml:space="preserve"> basis</w:t>
      </w:r>
      <w:r>
        <w:rPr>
          <w:rFonts w:ascii="Calibri" w:hAnsi="Calibri" w:cs="Arial"/>
          <w:sz w:val="22"/>
          <w:szCs w:val="22"/>
        </w:rPr>
        <w:t>, including</w:t>
      </w:r>
      <w:r w:rsidR="003E0565" w:rsidRPr="009D594D">
        <w:rPr>
          <w:rFonts w:ascii="Calibri" w:hAnsi="Calibri" w:cs="Arial"/>
          <w:sz w:val="22"/>
          <w:szCs w:val="22"/>
        </w:rPr>
        <w:t xml:space="preserve"> the </w:t>
      </w:r>
      <w:r>
        <w:rPr>
          <w:rFonts w:ascii="Calibri" w:hAnsi="Calibri" w:cs="Arial"/>
          <w:sz w:val="22"/>
          <w:szCs w:val="22"/>
        </w:rPr>
        <w:t>number of company meetings at which</w:t>
      </w:r>
      <w:r w:rsidR="003E0565" w:rsidRPr="009D594D">
        <w:rPr>
          <w:rFonts w:ascii="Calibri" w:hAnsi="Calibri" w:cs="Arial"/>
          <w:sz w:val="22"/>
          <w:szCs w:val="22"/>
        </w:rPr>
        <w:t xml:space="preserve"> the Fund ha</w:t>
      </w:r>
      <w:r w:rsidR="00051CA5">
        <w:rPr>
          <w:rFonts w:ascii="Calibri" w:hAnsi="Calibri" w:cs="Arial"/>
          <w:sz w:val="22"/>
          <w:szCs w:val="22"/>
        </w:rPr>
        <w:t>s</w:t>
      </w:r>
      <w:r w:rsidR="003E0565" w:rsidRPr="009D594D">
        <w:rPr>
          <w:rFonts w:ascii="Calibri" w:hAnsi="Calibri" w:cs="Arial"/>
          <w:sz w:val="22"/>
          <w:szCs w:val="22"/>
        </w:rPr>
        <w:t xml:space="preserve"> voted and </w:t>
      </w:r>
      <w:r>
        <w:rPr>
          <w:rFonts w:ascii="Calibri" w:hAnsi="Calibri" w:cs="Arial"/>
          <w:sz w:val="22"/>
          <w:szCs w:val="22"/>
        </w:rPr>
        <w:t>how the Fund ha</w:t>
      </w:r>
      <w:r w:rsidR="00051CA5">
        <w:rPr>
          <w:rFonts w:ascii="Calibri" w:hAnsi="Calibri" w:cs="Arial"/>
          <w:sz w:val="22"/>
          <w:szCs w:val="22"/>
        </w:rPr>
        <w:t>s</w:t>
      </w:r>
      <w:r>
        <w:rPr>
          <w:rFonts w:ascii="Calibri" w:hAnsi="Calibri" w:cs="Arial"/>
          <w:sz w:val="22"/>
          <w:szCs w:val="22"/>
        </w:rPr>
        <w:t xml:space="preserve"> voted.</w:t>
      </w:r>
    </w:p>
    <w:p w14:paraId="6FB814E4" w14:textId="2A5A0E42" w:rsidR="003E0565" w:rsidRDefault="003E0565" w:rsidP="003E0565">
      <w:pPr>
        <w:autoSpaceDE w:val="0"/>
        <w:autoSpaceDN w:val="0"/>
        <w:adjustRightInd w:val="0"/>
        <w:spacing w:line="201" w:lineRule="atLeast"/>
        <w:jc w:val="both"/>
        <w:rPr>
          <w:rFonts w:ascii="Calibri" w:eastAsia="Times New Roman" w:hAnsi="Calibri" w:cs="Arial"/>
          <w:lang w:eastAsia="en-GB"/>
        </w:rPr>
      </w:pPr>
      <w:r w:rsidRPr="005A597A">
        <w:rPr>
          <w:rFonts w:ascii="Calibri" w:eastAsia="Times New Roman" w:hAnsi="Calibri" w:cs="Arial"/>
          <w:lang w:eastAsia="en-GB"/>
        </w:rPr>
        <w:t xml:space="preserve">LAPFF </w:t>
      </w:r>
      <w:r w:rsidR="00AF067A">
        <w:rPr>
          <w:rFonts w:ascii="Calibri" w:eastAsia="Times New Roman" w:hAnsi="Calibri" w:cs="Arial"/>
          <w:lang w:eastAsia="en-GB"/>
        </w:rPr>
        <w:t>and E</w:t>
      </w:r>
      <w:r w:rsidR="00BA6E5F">
        <w:rPr>
          <w:rFonts w:ascii="Calibri" w:eastAsia="Times New Roman" w:hAnsi="Calibri" w:cs="Arial"/>
          <w:lang w:eastAsia="en-GB"/>
        </w:rPr>
        <w:t>OS</w:t>
      </w:r>
      <w:r w:rsidR="00327FB3">
        <w:rPr>
          <w:rFonts w:ascii="Calibri" w:eastAsia="Times New Roman" w:hAnsi="Calibri" w:cs="Arial"/>
          <w:lang w:eastAsia="en-GB"/>
        </w:rPr>
        <w:t xml:space="preserve"> </w:t>
      </w:r>
      <w:r w:rsidRPr="005A597A">
        <w:rPr>
          <w:rFonts w:ascii="Calibri" w:eastAsia="Times New Roman" w:hAnsi="Calibri" w:cs="Arial"/>
          <w:lang w:eastAsia="en-GB"/>
        </w:rPr>
        <w:t xml:space="preserve">monitor and engage with </w:t>
      </w:r>
      <w:r w:rsidR="00AF067A">
        <w:rPr>
          <w:rFonts w:ascii="Calibri" w:eastAsia="Times New Roman" w:hAnsi="Calibri" w:cs="Arial"/>
          <w:lang w:eastAsia="en-GB"/>
        </w:rPr>
        <w:t xml:space="preserve">our investee </w:t>
      </w:r>
      <w:r w:rsidRPr="005A597A">
        <w:rPr>
          <w:rFonts w:ascii="Calibri" w:eastAsia="Times New Roman" w:hAnsi="Calibri" w:cs="Arial"/>
          <w:lang w:eastAsia="en-GB"/>
        </w:rPr>
        <w:t>companies and provide an ‘Alerts’ service</w:t>
      </w:r>
      <w:r w:rsidR="009D594D">
        <w:rPr>
          <w:rFonts w:ascii="Calibri" w:eastAsia="Times New Roman" w:hAnsi="Calibri" w:cs="Arial"/>
          <w:lang w:eastAsia="en-GB"/>
        </w:rPr>
        <w:t>,</w:t>
      </w:r>
      <w:r w:rsidRPr="005A597A">
        <w:rPr>
          <w:rFonts w:ascii="Calibri" w:eastAsia="Times New Roman" w:hAnsi="Calibri" w:cs="Arial"/>
          <w:lang w:eastAsia="en-GB"/>
        </w:rPr>
        <w:t xml:space="preserve"> which highlights </w:t>
      </w:r>
      <w:r w:rsidR="00857C0E">
        <w:rPr>
          <w:rFonts w:ascii="Calibri" w:eastAsia="Times New Roman" w:hAnsi="Calibri" w:cs="Arial"/>
          <w:lang w:eastAsia="en-GB"/>
        </w:rPr>
        <w:t xml:space="preserve">any </w:t>
      </w:r>
      <w:r w:rsidRPr="005A597A">
        <w:rPr>
          <w:rFonts w:ascii="Calibri" w:eastAsia="Times New Roman" w:hAnsi="Calibri" w:cs="Arial"/>
          <w:lang w:eastAsia="en-GB"/>
        </w:rPr>
        <w:t>concerns over corporate governance issues</w:t>
      </w:r>
      <w:r w:rsidR="00857C0E">
        <w:rPr>
          <w:rFonts w:ascii="Calibri" w:eastAsia="Times New Roman" w:hAnsi="Calibri" w:cs="Arial"/>
          <w:lang w:eastAsia="en-GB"/>
        </w:rPr>
        <w:t xml:space="preserve"> and engagements plans agreed with companies</w:t>
      </w:r>
      <w:r w:rsidRPr="005A597A">
        <w:rPr>
          <w:rFonts w:ascii="Calibri" w:eastAsia="Times New Roman" w:hAnsi="Calibri" w:cs="Arial"/>
          <w:lang w:eastAsia="en-GB"/>
        </w:rPr>
        <w:t xml:space="preserve">. </w:t>
      </w:r>
    </w:p>
    <w:p w14:paraId="3DECBC1B" w14:textId="77777777" w:rsidR="009D594D" w:rsidRPr="005A597A" w:rsidRDefault="009D594D" w:rsidP="009D594D">
      <w:pPr>
        <w:autoSpaceDE w:val="0"/>
        <w:autoSpaceDN w:val="0"/>
        <w:adjustRightInd w:val="0"/>
        <w:spacing w:before="0" w:after="0" w:line="240" w:lineRule="auto"/>
        <w:jc w:val="both"/>
        <w:rPr>
          <w:rFonts w:ascii="Calibri" w:eastAsia="Times New Roman" w:hAnsi="Calibri" w:cs="Arial"/>
          <w:lang w:eastAsia="en-GB"/>
        </w:rPr>
      </w:pPr>
    </w:p>
    <w:p w14:paraId="3DF93C23" w14:textId="77777777" w:rsidR="003E0565" w:rsidRPr="003E0565" w:rsidRDefault="003E0565" w:rsidP="003E0565">
      <w:pPr>
        <w:tabs>
          <w:tab w:val="left" w:pos="0"/>
        </w:tabs>
        <w:spacing w:before="0"/>
        <w:rPr>
          <w:rFonts w:ascii="Calibri" w:hAnsi="Calibri" w:cs="Arial"/>
          <w:b/>
        </w:rPr>
      </w:pPr>
      <w:r w:rsidRPr="003E0565">
        <w:rPr>
          <w:rFonts w:ascii="Calibri" w:hAnsi="Calibri" w:cs="Arial"/>
          <w:b/>
        </w:rPr>
        <w:t>Principle 4</w:t>
      </w:r>
      <w:r w:rsidR="005A597A">
        <w:rPr>
          <w:rFonts w:ascii="Calibri" w:hAnsi="Calibri" w:cs="Arial"/>
          <w:b/>
        </w:rPr>
        <w:t xml:space="preserve">: </w:t>
      </w:r>
      <w:r w:rsidRPr="003E0565">
        <w:rPr>
          <w:rFonts w:ascii="Calibri" w:hAnsi="Calibri" w:cs="Arial"/>
          <w:b/>
        </w:rPr>
        <w:t>Institutional investors should establish clear guidelines on when and how they will escalate their activities as a method of protecting and enhancing shareholder value.</w:t>
      </w:r>
    </w:p>
    <w:p w14:paraId="1D84ECE0" w14:textId="0A5A9E8B" w:rsidR="003E0565" w:rsidRPr="005A597A" w:rsidRDefault="003E0565" w:rsidP="003E0565">
      <w:pPr>
        <w:pStyle w:val="NumberedParagraph"/>
        <w:tabs>
          <w:tab w:val="clear" w:pos="720"/>
        </w:tabs>
        <w:jc w:val="both"/>
        <w:rPr>
          <w:rFonts w:ascii="Calibri" w:hAnsi="Calibri"/>
          <w:sz w:val="22"/>
          <w:szCs w:val="22"/>
          <w:lang w:eastAsia="en-GB"/>
        </w:rPr>
      </w:pPr>
      <w:r w:rsidRPr="005A597A">
        <w:rPr>
          <w:rFonts w:ascii="Calibri" w:hAnsi="Calibri"/>
          <w:sz w:val="22"/>
          <w:szCs w:val="22"/>
          <w:lang w:eastAsia="en-GB"/>
        </w:rPr>
        <w:t xml:space="preserve">As highlighted above, responsibility for interaction with companies is </w:t>
      </w:r>
      <w:r w:rsidR="00D65F0B">
        <w:rPr>
          <w:rFonts w:ascii="Calibri" w:hAnsi="Calibri"/>
          <w:sz w:val="22"/>
          <w:szCs w:val="22"/>
          <w:lang w:eastAsia="en-GB"/>
        </w:rPr>
        <w:t xml:space="preserve">shared with the bulk of interventions being undertaken by </w:t>
      </w:r>
      <w:r w:rsidR="00857C0E">
        <w:rPr>
          <w:rFonts w:ascii="Calibri" w:hAnsi="Calibri"/>
          <w:sz w:val="22"/>
          <w:szCs w:val="22"/>
          <w:lang w:eastAsia="en-GB"/>
        </w:rPr>
        <w:t>E</w:t>
      </w:r>
      <w:r w:rsidR="00327FB3">
        <w:rPr>
          <w:rFonts w:ascii="Calibri" w:hAnsi="Calibri"/>
          <w:sz w:val="22"/>
          <w:szCs w:val="22"/>
          <w:lang w:eastAsia="en-GB"/>
        </w:rPr>
        <w:t>OS</w:t>
      </w:r>
      <w:r w:rsidR="00857C0E">
        <w:rPr>
          <w:rFonts w:ascii="Calibri" w:hAnsi="Calibri"/>
          <w:sz w:val="22"/>
          <w:szCs w:val="22"/>
          <w:lang w:eastAsia="en-GB"/>
        </w:rPr>
        <w:t xml:space="preserve">, </w:t>
      </w:r>
      <w:r w:rsidR="00D65F0B">
        <w:rPr>
          <w:rFonts w:ascii="Calibri" w:hAnsi="Calibri"/>
          <w:sz w:val="22"/>
          <w:szCs w:val="22"/>
          <w:lang w:eastAsia="en-GB"/>
        </w:rPr>
        <w:t xml:space="preserve">external managers and the LAPFF. In general, </w:t>
      </w:r>
    </w:p>
    <w:p w14:paraId="0F7FFEE8" w14:textId="67371DC6" w:rsidR="003E0565" w:rsidRPr="009D594D" w:rsidRDefault="003E0565" w:rsidP="009D594D">
      <w:pPr>
        <w:pStyle w:val="Paragraph"/>
        <w:numPr>
          <w:ilvl w:val="0"/>
          <w:numId w:val="12"/>
        </w:numPr>
        <w:autoSpaceDE w:val="0"/>
        <w:autoSpaceDN w:val="0"/>
        <w:adjustRightInd w:val="0"/>
        <w:spacing w:before="120" w:after="200"/>
        <w:ind w:left="714" w:hanging="357"/>
        <w:rPr>
          <w:rFonts w:ascii="Calibri" w:hAnsi="Calibri" w:cs="Arial"/>
          <w:sz w:val="22"/>
          <w:szCs w:val="22"/>
        </w:rPr>
      </w:pPr>
      <w:r w:rsidRPr="009D594D">
        <w:rPr>
          <w:rFonts w:ascii="Calibri" w:hAnsi="Calibri" w:cs="Arial"/>
          <w:sz w:val="22"/>
          <w:szCs w:val="22"/>
        </w:rPr>
        <w:t>We expect the approach to engagement on our behalf to be valu</w:t>
      </w:r>
      <w:r w:rsidR="00247AAB">
        <w:rPr>
          <w:rFonts w:ascii="Calibri" w:hAnsi="Calibri" w:cs="Arial"/>
          <w:sz w:val="22"/>
          <w:szCs w:val="22"/>
        </w:rPr>
        <w:t>e-</w:t>
      </w:r>
      <w:r w:rsidR="009D594D" w:rsidRPr="009D594D">
        <w:rPr>
          <w:rFonts w:ascii="Calibri" w:hAnsi="Calibri" w:cs="Arial"/>
          <w:sz w:val="22"/>
          <w:szCs w:val="22"/>
        </w:rPr>
        <w:t>orientated and focu</w:t>
      </w:r>
      <w:r w:rsidRPr="009D594D">
        <w:rPr>
          <w:rFonts w:ascii="Calibri" w:hAnsi="Calibri" w:cs="Arial"/>
          <w:sz w:val="22"/>
          <w:szCs w:val="22"/>
        </w:rPr>
        <w:t>sed on long term sustainable profitability.</w:t>
      </w:r>
      <w:r w:rsidR="009D594D">
        <w:rPr>
          <w:rFonts w:ascii="Calibri" w:hAnsi="Calibri" w:cs="Arial"/>
          <w:sz w:val="22"/>
          <w:szCs w:val="22"/>
        </w:rPr>
        <w:t xml:space="preserve"> </w:t>
      </w:r>
      <w:r w:rsidRPr="009D594D">
        <w:rPr>
          <w:rFonts w:ascii="Calibri" w:hAnsi="Calibri" w:cs="Arial"/>
          <w:sz w:val="22"/>
          <w:szCs w:val="22"/>
        </w:rPr>
        <w:t xml:space="preserve"> </w:t>
      </w:r>
    </w:p>
    <w:p w14:paraId="3C62C03B" w14:textId="1F87A81E" w:rsidR="003E0565" w:rsidRPr="009D594D" w:rsidRDefault="00857C0E" w:rsidP="009D594D">
      <w:pPr>
        <w:pStyle w:val="Paragraph"/>
        <w:numPr>
          <w:ilvl w:val="0"/>
          <w:numId w:val="12"/>
        </w:numPr>
        <w:autoSpaceDE w:val="0"/>
        <w:autoSpaceDN w:val="0"/>
        <w:adjustRightInd w:val="0"/>
        <w:spacing w:before="120" w:after="200"/>
        <w:ind w:left="714" w:hanging="357"/>
        <w:rPr>
          <w:rFonts w:ascii="Calibri" w:hAnsi="Calibri" w:cs="Arial"/>
          <w:sz w:val="22"/>
          <w:szCs w:val="22"/>
        </w:rPr>
      </w:pPr>
      <w:r>
        <w:rPr>
          <w:rFonts w:ascii="Calibri" w:hAnsi="Calibri" w:cs="Arial"/>
          <w:sz w:val="22"/>
          <w:szCs w:val="22"/>
        </w:rPr>
        <w:t>E</w:t>
      </w:r>
      <w:r w:rsidR="00327FB3">
        <w:rPr>
          <w:rFonts w:ascii="Calibri" w:hAnsi="Calibri" w:cs="Arial"/>
          <w:sz w:val="22"/>
          <w:szCs w:val="22"/>
        </w:rPr>
        <w:t>OS</w:t>
      </w:r>
      <w:r>
        <w:rPr>
          <w:rFonts w:ascii="Calibri" w:hAnsi="Calibri" w:cs="Arial"/>
          <w:sz w:val="22"/>
          <w:szCs w:val="22"/>
        </w:rPr>
        <w:t xml:space="preserve"> </w:t>
      </w:r>
      <w:r w:rsidR="003E0565" w:rsidRPr="009D594D">
        <w:rPr>
          <w:rFonts w:ascii="Calibri" w:hAnsi="Calibri" w:cs="Arial"/>
          <w:sz w:val="22"/>
          <w:szCs w:val="22"/>
        </w:rPr>
        <w:t xml:space="preserve">monitors </w:t>
      </w:r>
      <w:r>
        <w:rPr>
          <w:rFonts w:ascii="Calibri" w:hAnsi="Calibri" w:cs="Arial"/>
          <w:sz w:val="22"/>
          <w:szCs w:val="22"/>
        </w:rPr>
        <w:t xml:space="preserve">the activity of many of our </w:t>
      </w:r>
      <w:r w:rsidR="003E0565" w:rsidRPr="009D594D">
        <w:rPr>
          <w:rFonts w:ascii="Calibri" w:hAnsi="Calibri" w:cs="Arial"/>
          <w:sz w:val="22"/>
          <w:szCs w:val="22"/>
        </w:rPr>
        <w:t xml:space="preserve">investee companies and escalate engagement activity directly with </w:t>
      </w:r>
      <w:r>
        <w:rPr>
          <w:rFonts w:ascii="Calibri" w:hAnsi="Calibri" w:cs="Arial"/>
          <w:sz w:val="22"/>
          <w:szCs w:val="22"/>
        </w:rPr>
        <w:t>them</w:t>
      </w:r>
      <w:r w:rsidR="003E0565" w:rsidRPr="009D594D">
        <w:rPr>
          <w:rFonts w:ascii="Calibri" w:hAnsi="Calibri" w:cs="Arial"/>
          <w:sz w:val="22"/>
          <w:szCs w:val="22"/>
        </w:rPr>
        <w:t xml:space="preserve"> as required. </w:t>
      </w:r>
    </w:p>
    <w:p w14:paraId="337568E2" w14:textId="54024212" w:rsidR="003E0565" w:rsidRPr="009D594D" w:rsidRDefault="003E0565" w:rsidP="009D594D">
      <w:pPr>
        <w:pStyle w:val="Paragraph"/>
        <w:numPr>
          <w:ilvl w:val="0"/>
          <w:numId w:val="12"/>
        </w:numPr>
        <w:autoSpaceDE w:val="0"/>
        <w:autoSpaceDN w:val="0"/>
        <w:adjustRightInd w:val="0"/>
        <w:spacing w:before="120" w:after="200"/>
        <w:ind w:left="714" w:hanging="357"/>
        <w:rPr>
          <w:rFonts w:ascii="Calibri" w:hAnsi="Calibri" w:cs="Arial"/>
          <w:sz w:val="22"/>
          <w:szCs w:val="22"/>
        </w:rPr>
      </w:pPr>
      <w:r w:rsidRPr="009D594D">
        <w:rPr>
          <w:rFonts w:ascii="Calibri" w:hAnsi="Calibri" w:cs="Arial"/>
          <w:sz w:val="22"/>
          <w:szCs w:val="22"/>
        </w:rPr>
        <w:t xml:space="preserve">We may also propose escalation of activity through </w:t>
      </w:r>
      <w:r w:rsidR="0065399A">
        <w:rPr>
          <w:rFonts w:ascii="Calibri" w:hAnsi="Calibri" w:cs="Arial"/>
          <w:sz w:val="22"/>
          <w:szCs w:val="22"/>
        </w:rPr>
        <w:t xml:space="preserve">our membership of </w:t>
      </w:r>
      <w:r w:rsidRPr="009D594D">
        <w:rPr>
          <w:rFonts w:ascii="Calibri" w:hAnsi="Calibri" w:cs="Arial"/>
          <w:sz w:val="22"/>
          <w:szCs w:val="22"/>
        </w:rPr>
        <w:t xml:space="preserve">the </w:t>
      </w:r>
      <w:proofErr w:type="gramStart"/>
      <w:r w:rsidRPr="009D594D">
        <w:rPr>
          <w:rFonts w:ascii="Calibri" w:hAnsi="Calibri" w:cs="Arial"/>
          <w:sz w:val="22"/>
          <w:szCs w:val="22"/>
        </w:rPr>
        <w:t>L</w:t>
      </w:r>
      <w:r w:rsidR="0065399A">
        <w:rPr>
          <w:rFonts w:ascii="Calibri" w:hAnsi="Calibri" w:cs="Arial"/>
          <w:sz w:val="22"/>
          <w:szCs w:val="22"/>
        </w:rPr>
        <w:t>APFF</w:t>
      </w:r>
      <w:proofErr w:type="gramEnd"/>
    </w:p>
    <w:p w14:paraId="3A456A96" w14:textId="77777777" w:rsidR="009D594D" w:rsidRDefault="003E0565" w:rsidP="009D594D">
      <w:pPr>
        <w:pStyle w:val="Paragraph"/>
        <w:numPr>
          <w:ilvl w:val="0"/>
          <w:numId w:val="12"/>
        </w:numPr>
        <w:autoSpaceDE w:val="0"/>
        <w:autoSpaceDN w:val="0"/>
        <w:adjustRightInd w:val="0"/>
        <w:spacing w:after="0"/>
        <w:ind w:left="714" w:hanging="357"/>
        <w:rPr>
          <w:rFonts w:ascii="Calibri" w:hAnsi="Calibri" w:cs="Arial"/>
          <w:sz w:val="22"/>
          <w:szCs w:val="22"/>
        </w:rPr>
      </w:pPr>
      <w:r w:rsidRPr="009D594D">
        <w:rPr>
          <w:rFonts w:ascii="Calibri" w:hAnsi="Calibri" w:cs="Arial"/>
          <w:sz w:val="22"/>
          <w:szCs w:val="22"/>
        </w:rPr>
        <w:t xml:space="preserve">Consistent with our fiduciary duty to </w:t>
      </w:r>
      <w:r w:rsidR="009D594D">
        <w:rPr>
          <w:rFonts w:ascii="Calibri" w:hAnsi="Calibri" w:cs="Arial"/>
          <w:sz w:val="22"/>
          <w:szCs w:val="22"/>
        </w:rPr>
        <w:t>benefici</w:t>
      </w:r>
      <w:r w:rsidRPr="009D594D">
        <w:rPr>
          <w:rFonts w:ascii="Calibri" w:hAnsi="Calibri" w:cs="Arial"/>
          <w:sz w:val="22"/>
          <w:szCs w:val="22"/>
        </w:rPr>
        <w:t xml:space="preserve">aries and </w:t>
      </w:r>
      <w:proofErr w:type="gramStart"/>
      <w:r w:rsidRPr="009D594D">
        <w:rPr>
          <w:rFonts w:ascii="Calibri" w:hAnsi="Calibri" w:cs="Arial"/>
          <w:sz w:val="22"/>
          <w:szCs w:val="22"/>
        </w:rPr>
        <w:t>in order to</w:t>
      </w:r>
      <w:proofErr w:type="gramEnd"/>
      <w:r w:rsidRPr="009D594D">
        <w:rPr>
          <w:rFonts w:ascii="Calibri" w:hAnsi="Calibri" w:cs="Arial"/>
          <w:sz w:val="22"/>
          <w:szCs w:val="22"/>
        </w:rPr>
        <w:t xml:space="preserve"> encourage improved conduct in future, we consider participating in shareholder litigation where it appears likely that the Fund will recover losses (net of costs) sustained because of inappropriate actions by company directors.</w:t>
      </w:r>
    </w:p>
    <w:p w14:paraId="1416D715" w14:textId="77777777" w:rsidR="009D594D" w:rsidRDefault="009D594D" w:rsidP="009D594D">
      <w:pPr>
        <w:pStyle w:val="Paragraph"/>
        <w:numPr>
          <w:ilvl w:val="0"/>
          <w:numId w:val="0"/>
        </w:numPr>
        <w:autoSpaceDE w:val="0"/>
        <w:autoSpaceDN w:val="0"/>
        <w:adjustRightInd w:val="0"/>
        <w:spacing w:after="0"/>
        <w:ind w:left="720" w:hanging="720"/>
        <w:rPr>
          <w:rFonts w:ascii="Calibri" w:hAnsi="Calibri" w:cs="Arial"/>
          <w:sz w:val="22"/>
          <w:szCs w:val="22"/>
        </w:rPr>
      </w:pPr>
    </w:p>
    <w:p w14:paraId="4B460B42" w14:textId="77777777" w:rsidR="009D594D" w:rsidRPr="009D594D" w:rsidRDefault="009D594D" w:rsidP="009D594D">
      <w:pPr>
        <w:pStyle w:val="Paragraph"/>
        <w:numPr>
          <w:ilvl w:val="0"/>
          <w:numId w:val="0"/>
        </w:numPr>
        <w:autoSpaceDE w:val="0"/>
        <w:autoSpaceDN w:val="0"/>
        <w:adjustRightInd w:val="0"/>
        <w:spacing w:after="0"/>
        <w:ind w:left="720" w:hanging="720"/>
        <w:rPr>
          <w:rFonts w:ascii="Calibri" w:hAnsi="Calibri" w:cs="Arial"/>
          <w:sz w:val="22"/>
          <w:szCs w:val="22"/>
        </w:rPr>
      </w:pPr>
    </w:p>
    <w:p w14:paraId="592AB984" w14:textId="77777777" w:rsidR="003E0565" w:rsidRPr="003E0565" w:rsidRDefault="005A597A" w:rsidP="009D594D">
      <w:pPr>
        <w:tabs>
          <w:tab w:val="left" w:pos="0"/>
        </w:tabs>
        <w:spacing w:before="0" w:after="0"/>
        <w:rPr>
          <w:rFonts w:ascii="Calibri" w:hAnsi="Calibri" w:cs="Arial"/>
          <w:b/>
        </w:rPr>
      </w:pPr>
      <w:r>
        <w:rPr>
          <w:rFonts w:ascii="Calibri" w:hAnsi="Calibri" w:cs="Arial"/>
          <w:b/>
        </w:rPr>
        <w:t xml:space="preserve">Principle 5: </w:t>
      </w:r>
      <w:r w:rsidR="003E0565" w:rsidRPr="003E0565">
        <w:rPr>
          <w:rFonts w:ascii="Calibri" w:hAnsi="Calibri" w:cs="Arial"/>
          <w:b/>
        </w:rPr>
        <w:t>Institutional investors should be willing to act collectively with other investors where appropriate</w:t>
      </w:r>
      <w:r w:rsidR="009D594D">
        <w:rPr>
          <w:rFonts w:ascii="Calibri" w:hAnsi="Calibri" w:cs="Arial"/>
          <w:b/>
        </w:rPr>
        <w:t>.</w:t>
      </w:r>
    </w:p>
    <w:p w14:paraId="571BF549" w14:textId="77777777" w:rsidR="009D594D" w:rsidRDefault="009D594D" w:rsidP="003E0565">
      <w:pPr>
        <w:pStyle w:val="NumberedParagraph"/>
        <w:tabs>
          <w:tab w:val="clear" w:pos="720"/>
        </w:tabs>
        <w:jc w:val="both"/>
        <w:rPr>
          <w:rFonts w:ascii="Calibri" w:hAnsi="Calibri"/>
          <w:sz w:val="22"/>
          <w:szCs w:val="22"/>
          <w:lang w:eastAsia="en-GB"/>
        </w:rPr>
      </w:pPr>
    </w:p>
    <w:p w14:paraId="669DE6C8" w14:textId="50C5CBD2" w:rsidR="009D594D" w:rsidRDefault="003E0565" w:rsidP="009D594D">
      <w:pPr>
        <w:pStyle w:val="NumberedParagraph"/>
        <w:tabs>
          <w:tab w:val="clear" w:pos="720"/>
        </w:tabs>
        <w:jc w:val="both"/>
        <w:rPr>
          <w:rFonts w:ascii="Calibri" w:hAnsi="Calibri"/>
          <w:sz w:val="22"/>
          <w:szCs w:val="22"/>
          <w:lang w:eastAsia="en-GB"/>
        </w:rPr>
      </w:pPr>
      <w:r w:rsidRPr="005A597A">
        <w:rPr>
          <w:rFonts w:ascii="Calibri" w:hAnsi="Calibri"/>
          <w:sz w:val="22"/>
          <w:szCs w:val="22"/>
          <w:lang w:eastAsia="en-GB"/>
        </w:rPr>
        <w:t>We seek to work collaboratively with other institutional shareholders to maximise the influence that we can have on individual companies.</w:t>
      </w:r>
      <w:r w:rsidR="009D594D">
        <w:rPr>
          <w:rFonts w:ascii="Calibri" w:hAnsi="Calibri"/>
          <w:sz w:val="22"/>
          <w:szCs w:val="22"/>
          <w:lang w:eastAsia="en-GB"/>
        </w:rPr>
        <w:t xml:space="preserve"> </w:t>
      </w:r>
      <w:r w:rsidRPr="005A597A">
        <w:rPr>
          <w:rFonts w:ascii="Calibri" w:hAnsi="Calibri"/>
          <w:sz w:val="22"/>
          <w:szCs w:val="22"/>
          <w:lang w:eastAsia="en-GB"/>
        </w:rPr>
        <w:t xml:space="preserve"> We do this through:</w:t>
      </w:r>
    </w:p>
    <w:p w14:paraId="152B8818" w14:textId="462F913C" w:rsidR="009D594D" w:rsidRPr="004B785F" w:rsidRDefault="003E0565" w:rsidP="00E214F3">
      <w:pPr>
        <w:pStyle w:val="Paragraph"/>
        <w:numPr>
          <w:ilvl w:val="0"/>
          <w:numId w:val="12"/>
        </w:numPr>
        <w:autoSpaceDE w:val="0"/>
        <w:autoSpaceDN w:val="0"/>
        <w:adjustRightInd w:val="0"/>
        <w:spacing w:before="120" w:after="200"/>
        <w:rPr>
          <w:rFonts w:ascii="Calibri" w:hAnsi="Calibri" w:cs="Arial"/>
          <w:sz w:val="22"/>
          <w:szCs w:val="22"/>
        </w:rPr>
      </w:pPr>
      <w:r w:rsidRPr="009D594D">
        <w:rPr>
          <w:rFonts w:ascii="Calibri" w:hAnsi="Calibri" w:cs="Arial"/>
          <w:sz w:val="22"/>
          <w:szCs w:val="22"/>
        </w:rPr>
        <w:t>membership of the Local Authority Pension</w:t>
      </w:r>
      <w:r w:rsidR="004B785F">
        <w:rPr>
          <w:rFonts w:ascii="Calibri" w:hAnsi="Calibri" w:cs="Arial"/>
          <w:sz w:val="22"/>
          <w:szCs w:val="22"/>
        </w:rPr>
        <w:t xml:space="preserve"> Fund Forum</w:t>
      </w:r>
      <w:r w:rsidR="003673D4">
        <w:rPr>
          <w:rFonts w:ascii="Calibri" w:hAnsi="Calibri" w:cs="Arial"/>
          <w:sz w:val="22"/>
          <w:szCs w:val="22"/>
        </w:rPr>
        <w:t xml:space="preserve"> (LAPFF)</w:t>
      </w:r>
      <w:r w:rsidR="004B785F">
        <w:rPr>
          <w:rFonts w:ascii="Calibri" w:hAnsi="Calibri" w:cs="Arial"/>
          <w:sz w:val="22"/>
          <w:szCs w:val="22"/>
        </w:rPr>
        <w:t xml:space="preserve">, which is a collaborative effort of approximately </w:t>
      </w:r>
      <w:r w:rsidR="003673D4">
        <w:rPr>
          <w:rFonts w:ascii="Calibri" w:hAnsi="Calibri" w:cs="Arial"/>
          <w:sz w:val="22"/>
          <w:szCs w:val="22"/>
        </w:rPr>
        <w:t>8</w:t>
      </w:r>
      <w:r w:rsidR="004B785F">
        <w:rPr>
          <w:rFonts w:ascii="Calibri" w:hAnsi="Calibri" w:cs="Arial"/>
          <w:sz w:val="22"/>
          <w:szCs w:val="22"/>
        </w:rPr>
        <w:t xml:space="preserve">0 local authority pension funds.  </w:t>
      </w:r>
      <w:r w:rsidR="003673D4">
        <w:rPr>
          <w:rFonts w:ascii="Calibri" w:hAnsi="Calibri" w:cs="Arial"/>
          <w:sz w:val="22"/>
          <w:szCs w:val="22"/>
        </w:rPr>
        <w:t xml:space="preserve">LAPFF </w:t>
      </w:r>
      <w:r w:rsidR="004B785F">
        <w:rPr>
          <w:rFonts w:ascii="Calibri" w:hAnsi="Calibri" w:cs="Arial"/>
          <w:sz w:val="22"/>
          <w:szCs w:val="22"/>
        </w:rPr>
        <w:t xml:space="preserve">engages and lobbies for </w:t>
      </w:r>
      <w:r w:rsidR="004B785F">
        <w:rPr>
          <w:rFonts w:ascii="Calibri" w:hAnsi="Calibri" w:cs="Arial"/>
          <w:sz w:val="22"/>
          <w:szCs w:val="22"/>
        </w:rPr>
        <w:lastRenderedPageBreak/>
        <w:t>positive changes on e</w:t>
      </w:r>
      <w:r w:rsidRPr="009D594D">
        <w:rPr>
          <w:rFonts w:ascii="Calibri" w:hAnsi="Calibri" w:cs="Arial"/>
          <w:sz w:val="22"/>
          <w:szCs w:val="22"/>
        </w:rPr>
        <w:t xml:space="preserve">nvironmental, social and governance issues on behalf of its members. </w:t>
      </w:r>
      <w:r w:rsidR="00E214F3">
        <w:rPr>
          <w:rFonts w:ascii="Calibri" w:hAnsi="Calibri" w:cs="Arial"/>
          <w:sz w:val="22"/>
          <w:szCs w:val="22"/>
        </w:rPr>
        <w:t xml:space="preserve">See </w:t>
      </w:r>
      <w:hyperlink r:id="rId13" w:history="1">
        <w:r w:rsidR="00E214F3" w:rsidRPr="006D51A3">
          <w:rPr>
            <w:rStyle w:val="Hyperlink"/>
            <w:rFonts w:ascii="Calibri" w:hAnsi="Calibri" w:cs="Arial"/>
            <w:sz w:val="22"/>
            <w:szCs w:val="22"/>
          </w:rPr>
          <w:t>http://www.lapfforum.org/</w:t>
        </w:r>
      </w:hyperlink>
      <w:r w:rsidR="00E214F3">
        <w:rPr>
          <w:rFonts w:ascii="Calibri" w:hAnsi="Calibri" w:cs="Arial"/>
          <w:sz w:val="22"/>
          <w:szCs w:val="22"/>
        </w:rPr>
        <w:t xml:space="preserve"> for more details.</w:t>
      </w:r>
    </w:p>
    <w:p w14:paraId="487E34C2" w14:textId="77777777" w:rsidR="00D65F0B" w:rsidRDefault="00D65F0B" w:rsidP="003E0565">
      <w:pPr>
        <w:tabs>
          <w:tab w:val="left" w:pos="0"/>
        </w:tabs>
        <w:spacing w:before="0"/>
        <w:rPr>
          <w:rFonts w:ascii="Calibri" w:hAnsi="Calibri" w:cs="Arial"/>
          <w:b/>
        </w:rPr>
      </w:pPr>
    </w:p>
    <w:p w14:paraId="558470EF" w14:textId="77777777" w:rsidR="003E0565" w:rsidRPr="003E0565" w:rsidRDefault="003E0565" w:rsidP="003E0565">
      <w:pPr>
        <w:tabs>
          <w:tab w:val="left" w:pos="0"/>
        </w:tabs>
        <w:spacing w:before="0"/>
        <w:rPr>
          <w:rFonts w:ascii="Calibri" w:hAnsi="Calibri" w:cs="Arial"/>
          <w:b/>
        </w:rPr>
      </w:pPr>
      <w:r w:rsidRPr="003E0565">
        <w:rPr>
          <w:rFonts w:ascii="Calibri" w:hAnsi="Calibri" w:cs="Arial"/>
          <w:b/>
        </w:rPr>
        <w:t>Principle 6</w:t>
      </w:r>
      <w:r w:rsidR="005A597A">
        <w:rPr>
          <w:rFonts w:ascii="Calibri" w:hAnsi="Calibri" w:cs="Arial"/>
          <w:b/>
        </w:rPr>
        <w:t xml:space="preserve">: </w:t>
      </w:r>
      <w:r w:rsidRPr="003E0565">
        <w:rPr>
          <w:rFonts w:ascii="Calibri" w:hAnsi="Calibri" w:cs="Arial"/>
          <w:b/>
        </w:rPr>
        <w:t>Institutional investors should have a clear policy on voting and disclosure of voting activity.</w:t>
      </w:r>
    </w:p>
    <w:p w14:paraId="54ED5CC3" w14:textId="77777777" w:rsidR="00454ADD" w:rsidRDefault="003E0565" w:rsidP="005A597A">
      <w:pPr>
        <w:spacing w:before="0" w:after="0"/>
        <w:rPr>
          <w:rFonts w:ascii="Calibri" w:eastAsia="Times New Roman" w:hAnsi="Calibri" w:cs="Arial"/>
          <w:lang w:eastAsia="en-GB"/>
        </w:rPr>
      </w:pPr>
      <w:r w:rsidRPr="005A597A">
        <w:rPr>
          <w:rFonts w:ascii="Calibri" w:eastAsia="Times New Roman" w:hAnsi="Calibri" w:cs="Arial"/>
          <w:lang w:eastAsia="en-GB"/>
        </w:rPr>
        <w:t>The emphasis of our voting policy is to promote best practice.</w:t>
      </w:r>
      <w:r w:rsidR="005471F2">
        <w:rPr>
          <w:rFonts w:ascii="Calibri" w:eastAsia="Times New Roman" w:hAnsi="Calibri" w:cs="Arial"/>
          <w:lang w:eastAsia="en-GB"/>
        </w:rPr>
        <w:t xml:space="preserve">  </w:t>
      </w:r>
    </w:p>
    <w:p w14:paraId="167BE84C" w14:textId="005B746E" w:rsidR="00857C0E" w:rsidRDefault="003E0565" w:rsidP="00327FB3">
      <w:pPr>
        <w:pStyle w:val="ListParagraph"/>
        <w:numPr>
          <w:ilvl w:val="0"/>
          <w:numId w:val="12"/>
        </w:numPr>
        <w:autoSpaceDE w:val="0"/>
        <w:autoSpaceDN w:val="0"/>
        <w:adjustRightInd w:val="0"/>
        <w:spacing w:line="240" w:lineRule="auto"/>
        <w:ind w:left="714" w:hanging="357"/>
        <w:rPr>
          <w:rFonts w:ascii="Calibri" w:hAnsi="Calibri" w:cs="Arial"/>
        </w:rPr>
      </w:pPr>
      <w:r w:rsidRPr="003F14C3">
        <w:rPr>
          <w:rFonts w:ascii="Calibri" w:eastAsia="Times New Roman" w:hAnsi="Calibri" w:cs="Arial"/>
          <w:lang w:eastAsia="en-GB"/>
        </w:rPr>
        <w:t>We seek to vote on all shares held</w:t>
      </w:r>
      <w:r w:rsidR="00D65F0B" w:rsidRPr="003F14C3">
        <w:rPr>
          <w:rFonts w:ascii="Calibri" w:eastAsia="Times New Roman" w:hAnsi="Calibri" w:cs="Arial"/>
          <w:lang w:eastAsia="en-GB"/>
        </w:rPr>
        <w:t xml:space="preserve"> and have appointed </w:t>
      </w:r>
      <w:r w:rsidR="00990F86">
        <w:rPr>
          <w:rFonts w:ascii="Calibri" w:eastAsia="Times New Roman" w:hAnsi="Calibri" w:cs="Arial"/>
          <w:lang w:eastAsia="en-GB"/>
        </w:rPr>
        <w:t>EOS</w:t>
      </w:r>
      <w:r w:rsidR="00990F86" w:rsidRPr="003F14C3">
        <w:rPr>
          <w:rFonts w:ascii="Calibri" w:eastAsia="Times New Roman" w:hAnsi="Calibri" w:cs="Arial"/>
          <w:lang w:eastAsia="en-GB"/>
        </w:rPr>
        <w:t xml:space="preserve"> </w:t>
      </w:r>
      <w:r w:rsidR="00D65F0B" w:rsidRPr="003F14C3">
        <w:rPr>
          <w:rFonts w:ascii="Calibri" w:eastAsia="Times New Roman" w:hAnsi="Calibri" w:cs="Arial"/>
          <w:lang w:eastAsia="en-GB"/>
        </w:rPr>
        <w:t xml:space="preserve">to </w:t>
      </w:r>
      <w:r w:rsidR="003F14C3" w:rsidRPr="003F14C3">
        <w:rPr>
          <w:rFonts w:ascii="Calibri" w:eastAsia="Times New Roman" w:hAnsi="Calibri" w:cs="Arial"/>
          <w:lang w:eastAsia="en-GB"/>
        </w:rPr>
        <w:t xml:space="preserve">exercise voting on our behalf in respect of active mandates held.  </w:t>
      </w:r>
      <w:r w:rsidR="00990F86">
        <w:rPr>
          <w:rFonts w:ascii="Calibri" w:eastAsia="Times New Roman" w:hAnsi="Calibri" w:cs="Arial"/>
          <w:lang w:eastAsia="en-GB"/>
        </w:rPr>
        <w:t>EOS</w:t>
      </w:r>
      <w:r w:rsidR="00990F86" w:rsidRPr="003F14C3">
        <w:rPr>
          <w:rFonts w:ascii="Calibri" w:eastAsia="Times New Roman" w:hAnsi="Calibri" w:cs="Arial"/>
          <w:lang w:eastAsia="en-GB"/>
        </w:rPr>
        <w:t>’s</w:t>
      </w:r>
      <w:r w:rsidR="003F14C3" w:rsidRPr="003F14C3">
        <w:rPr>
          <w:rFonts w:ascii="Calibri" w:eastAsia="Times New Roman" w:hAnsi="Calibri" w:cs="Arial"/>
          <w:lang w:eastAsia="en-GB"/>
        </w:rPr>
        <w:t xml:space="preserve"> voting policy is </w:t>
      </w:r>
      <w:r w:rsidR="00D65F0B" w:rsidRPr="003F14C3">
        <w:rPr>
          <w:rFonts w:ascii="Calibri" w:eastAsia="Times New Roman" w:hAnsi="Calibri" w:cs="Arial"/>
          <w:lang w:eastAsia="en-GB"/>
        </w:rPr>
        <w:t>in accordance with the</w:t>
      </w:r>
      <w:r w:rsidR="00857C0E">
        <w:rPr>
          <w:rFonts w:ascii="Calibri" w:eastAsia="Times New Roman" w:hAnsi="Calibri" w:cs="Arial"/>
          <w:lang w:eastAsia="en-GB"/>
        </w:rPr>
        <w:t>ir</w:t>
      </w:r>
      <w:r w:rsidR="00D65F0B" w:rsidRPr="003F14C3">
        <w:rPr>
          <w:rFonts w:ascii="Calibri" w:eastAsia="Times New Roman" w:hAnsi="Calibri" w:cs="Arial"/>
          <w:lang w:eastAsia="en-GB"/>
        </w:rPr>
        <w:t xml:space="preserve"> </w:t>
      </w:r>
      <w:r w:rsidR="00857C0E">
        <w:rPr>
          <w:rFonts w:ascii="Calibri" w:eastAsia="Times New Roman" w:hAnsi="Calibri" w:cs="Arial"/>
          <w:lang w:eastAsia="en-GB"/>
        </w:rPr>
        <w:t>Global Voting Guidelines</w:t>
      </w:r>
      <w:r w:rsidR="00D65F0B" w:rsidRPr="003F14C3">
        <w:rPr>
          <w:rFonts w:ascii="Calibri" w:eastAsia="Times New Roman" w:hAnsi="Calibri" w:cs="Arial"/>
          <w:lang w:eastAsia="en-GB"/>
        </w:rPr>
        <w:t>.</w:t>
      </w:r>
      <w:r w:rsidR="00857C0E">
        <w:rPr>
          <w:rFonts w:ascii="Calibri" w:eastAsia="Times New Roman" w:hAnsi="Calibri" w:cs="Arial"/>
          <w:lang w:eastAsia="en-GB"/>
        </w:rPr>
        <w:t xml:space="preserve"> </w:t>
      </w:r>
      <w:r w:rsidR="00857C0E" w:rsidRPr="00324D87">
        <w:t xml:space="preserve">The guidelines reference environmental, social and governance factors and aim to harness voting rights as an asset to </w:t>
      </w:r>
      <w:r w:rsidR="00857C0E">
        <w:t xml:space="preserve">help </w:t>
      </w:r>
      <w:r w:rsidR="00857C0E" w:rsidRPr="00324D87">
        <w:t>achiev</w:t>
      </w:r>
      <w:r w:rsidR="00857C0E">
        <w:t>e</w:t>
      </w:r>
      <w:r w:rsidR="00857C0E" w:rsidRPr="00324D87">
        <w:t xml:space="preserve"> </w:t>
      </w:r>
      <w:r w:rsidR="00857C0E">
        <w:t xml:space="preserve">positive </w:t>
      </w:r>
      <w:r w:rsidR="00857C0E" w:rsidRPr="00324D87">
        <w:t xml:space="preserve">engagement </w:t>
      </w:r>
      <w:r w:rsidR="00E579FD" w:rsidRPr="00324D87">
        <w:t>outcomes</w:t>
      </w:r>
      <w:r w:rsidR="00E579FD" w:rsidRPr="003F14C3">
        <w:rPr>
          <w:rFonts w:ascii="Calibri" w:eastAsia="Times New Roman" w:hAnsi="Calibri" w:cs="Arial"/>
          <w:lang w:eastAsia="en-GB"/>
        </w:rPr>
        <w:t>.</w:t>
      </w:r>
    </w:p>
    <w:p w14:paraId="2CC65B7C" w14:textId="703984DA" w:rsidR="003F14C3" w:rsidRDefault="003F14C3" w:rsidP="003F14C3">
      <w:pPr>
        <w:pStyle w:val="Paragraph"/>
        <w:numPr>
          <w:ilvl w:val="0"/>
          <w:numId w:val="12"/>
        </w:numPr>
        <w:autoSpaceDE w:val="0"/>
        <w:autoSpaceDN w:val="0"/>
        <w:adjustRightInd w:val="0"/>
        <w:spacing w:before="120" w:after="200"/>
        <w:ind w:left="714" w:hanging="357"/>
        <w:rPr>
          <w:rFonts w:ascii="Calibri" w:hAnsi="Calibri" w:cs="Arial"/>
          <w:sz w:val="22"/>
          <w:szCs w:val="22"/>
        </w:rPr>
      </w:pPr>
      <w:r w:rsidRPr="003F14C3">
        <w:rPr>
          <w:rFonts w:ascii="Calibri" w:hAnsi="Calibri" w:cs="Arial"/>
          <w:sz w:val="22"/>
          <w:szCs w:val="22"/>
        </w:rPr>
        <w:t xml:space="preserve">The Fund retains the right to direct </w:t>
      </w:r>
      <w:r w:rsidR="00990F86">
        <w:rPr>
          <w:rFonts w:ascii="Calibri" w:hAnsi="Calibri" w:cs="Arial"/>
          <w:sz w:val="22"/>
          <w:szCs w:val="22"/>
        </w:rPr>
        <w:t>EOS</w:t>
      </w:r>
      <w:r w:rsidR="00990F86" w:rsidRPr="003F14C3">
        <w:rPr>
          <w:rFonts w:ascii="Calibri" w:hAnsi="Calibri" w:cs="Arial"/>
          <w:sz w:val="22"/>
          <w:szCs w:val="22"/>
        </w:rPr>
        <w:t xml:space="preserve"> </w:t>
      </w:r>
      <w:r w:rsidRPr="003F14C3">
        <w:rPr>
          <w:rFonts w:ascii="Calibri" w:hAnsi="Calibri" w:cs="Arial"/>
          <w:sz w:val="22"/>
          <w:szCs w:val="22"/>
        </w:rPr>
        <w:t xml:space="preserve">or a manager </w:t>
      </w:r>
      <w:r w:rsidR="003673D4">
        <w:rPr>
          <w:rFonts w:ascii="Calibri" w:hAnsi="Calibri" w:cs="Arial"/>
          <w:sz w:val="22"/>
          <w:szCs w:val="22"/>
        </w:rPr>
        <w:t xml:space="preserve">in a particular way </w:t>
      </w:r>
      <w:r w:rsidRPr="003F14C3">
        <w:rPr>
          <w:rFonts w:ascii="Calibri" w:hAnsi="Calibri" w:cs="Arial"/>
          <w:sz w:val="22"/>
          <w:szCs w:val="22"/>
        </w:rPr>
        <w:t>in respect of any corporate governance issue.</w:t>
      </w:r>
    </w:p>
    <w:p w14:paraId="2CBACBAC" w14:textId="77777777" w:rsidR="00D65F0B" w:rsidRDefault="00D65F0B" w:rsidP="003E0565">
      <w:pPr>
        <w:tabs>
          <w:tab w:val="left" w:pos="0"/>
        </w:tabs>
        <w:spacing w:before="0"/>
        <w:rPr>
          <w:rFonts w:ascii="Calibri" w:hAnsi="Calibri" w:cs="Arial"/>
          <w:b/>
        </w:rPr>
      </w:pPr>
    </w:p>
    <w:p w14:paraId="5944E70B" w14:textId="77777777" w:rsidR="003E0565" w:rsidRPr="003E0565" w:rsidRDefault="003E0565" w:rsidP="003E0565">
      <w:pPr>
        <w:tabs>
          <w:tab w:val="left" w:pos="0"/>
        </w:tabs>
        <w:spacing w:before="0"/>
        <w:rPr>
          <w:rFonts w:ascii="Calibri" w:hAnsi="Calibri" w:cs="Arial"/>
          <w:b/>
        </w:rPr>
      </w:pPr>
      <w:r w:rsidRPr="003E0565">
        <w:rPr>
          <w:rFonts w:ascii="Calibri" w:hAnsi="Calibri" w:cs="Arial"/>
          <w:b/>
        </w:rPr>
        <w:t>Principle 7</w:t>
      </w:r>
      <w:r w:rsidR="005A597A">
        <w:rPr>
          <w:rFonts w:ascii="Calibri" w:hAnsi="Calibri" w:cs="Arial"/>
          <w:b/>
        </w:rPr>
        <w:t xml:space="preserve">: </w:t>
      </w:r>
      <w:r w:rsidRPr="003E0565">
        <w:rPr>
          <w:rFonts w:ascii="Calibri" w:hAnsi="Calibri" w:cs="Arial"/>
          <w:b/>
        </w:rPr>
        <w:t>Institutional investors should report periodically on their stewardship and voting activities.</w:t>
      </w:r>
    </w:p>
    <w:p w14:paraId="43606717" w14:textId="77777777" w:rsidR="00130F00" w:rsidRDefault="00130F00" w:rsidP="005A597A">
      <w:pPr>
        <w:rPr>
          <w:rFonts w:ascii="Calibri" w:eastAsia="Times New Roman" w:hAnsi="Calibri" w:cs="Arial"/>
          <w:lang w:eastAsia="en-GB"/>
        </w:rPr>
      </w:pPr>
      <w:r>
        <w:rPr>
          <w:rFonts w:ascii="Calibri" w:eastAsia="Times New Roman" w:hAnsi="Calibri" w:cs="Arial"/>
          <w:lang w:eastAsia="en-GB"/>
        </w:rPr>
        <w:t>We do report on our stewardship and voting activities:</w:t>
      </w:r>
    </w:p>
    <w:p w14:paraId="23DB04A0" w14:textId="7E00093C" w:rsidR="003673D4" w:rsidRDefault="003E0565" w:rsidP="00130F00">
      <w:pPr>
        <w:pStyle w:val="Paragraph"/>
        <w:numPr>
          <w:ilvl w:val="0"/>
          <w:numId w:val="12"/>
        </w:numPr>
        <w:autoSpaceDE w:val="0"/>
        <w:autoSpaceDN w:val="0"/>
        <w:adjustRightInd w:val="0"/>
        <w:spacing w:before="120" w:after="200"/>
        <w:ind w:left="714" w:hanging="357"/>
        <w:rPr>
          <w:rFonts w:ascii="Calibri" w:hAnsi="Calibri" w:cs="Arial"/>
          <w:sz w:val="22"/>
          <w:szCs w:val="22"/>
        </w:rPr>
      </w:pPr>
      <w:r w:rsidRPr="00130F00">
        <w:rPr>
          <w:rFonts w:ascii="Calibri" w:hAnsi="Calibri" w:cs="Arial"/>
          <w:sz w:val="22"/>
          <w:szCs w:val="22"/>
        </w:rPr>
        <w:t xml:space="preserve">We report annually on stewardship </w:t>
      </w:r>
      <w:r w:rsidR="00130F00">
        <w:rPr>
          <w:rFonts w:ascii="Calibri" w:hAnsi="Calibri" w:cs="Arial"/>
          <w:sz w:val="22"/>
          <w:szCs w:val="22"/>
        </w:rPr>
        <w:t xml:space="preserve">and voting </w:t>
      </w:r>
      <w:r w:rsidRPr="00130F00">
        <w:rPr>
          <w:rFonts w:ascii="Calibri" w:hAnsi="Calibri" w:cs="Arial"/>
          <w:sz w:val="22"/>
          <w:szCs w:val="22"/>
        </w:rPr>
        <w:t xml:space="preserve">activity </w:t>
      </w:r>
      <w:r w:rsidR="00130F00">
        <w:rPr>
          <w:rFonts w:ascii="Calibri" w:hAnsi="Calibri" w:cs="Arial"/>
          <w:sz w:val="22"/>
          <w:szCs w:val="22"/>
        </w:rPr>
        <w:t>in t</w:t>
      </w:r>
      <w:r w:rsidRPr="00130F00">
        <w:rPr>
          <w:rFonts w:ascii="Calibri" w:hAnsi="Calibri" w:cs="Arial"/>
          <w:sz w:val="22"/>
          <w:szCs w:val="22"/>
        </w:rPr>
        <w:t>he Fund’</w:t>
      </w:r>
      <w:r w:rsidR="00037CA4">
        <w:rPr>
          <w:rFonts w:ascii="Calibri" w:hAnsi="Calibri" w:cs="Arial"/>
          <w:sz w:val="22"/>
          <w:szCs w:val="22"/>
        </w:rPr>
        <w:t>s</w:t>
      </w:r>
      <w:r w:rsidRPr="00130F00">
        <w:rPr>
          <w:rFonts w:ascii="Calibri" w:hAnsi="Calibri" w:cs="Arial"/>
          <w:sz w:val="22"/>
          <w:szCs w:val="22"/>
        </w:rPr>
        <w:t xml:space="preserve"> annual report and accounts</w:t>
      </w:r>
      <w:r w:rsidR="003673D4">
        <w:rPr>
          <w:rFonts w:ascii="Calibri" w:hAnsi="Calibri" w:cs="Arial"/>
          <w:sz w:val="22"/>
          <w:szCs w:val="22"/>
        </w:rPr>
        <w:t>.</w:t>
      </w:r>
    </w:p>
    <w:p w14:paraId="645FBA44" w14:textId="4B8CD47D" w:rsidR="003E0565" w:rsidRPr="003673D4" w:rsidRDefault="003673D4" w:rsidP="002B7BFE">
      <w:pPr>
        <w:pStyle w:val="Paragraph"/>
        <w:numPr>
          <w:ilvl w:val="0"/>
          <w:numId w:val="12"/>
        </w:numPr>
        <w:autoSpaceDE w:val="0"/>
        <w:autoSpaceDN w:val="0"/>
        <w:adjustRightInd w:val="0"/>
        <w:spacing w:before="120" w:after="200"/>
        <w:ind w:left="714" w:hanging="357"/>
        <w:rPr>
          <w:rFonts w:ascii="Calibri" w:hAnsi="Calibri" w:cs="Arial"/>
          <w:sz w:val="22"/>
          <w:szCs w:val="22"/>
        </w:rPr>
      </w:pPr>
      <w:r w:rsidRPr="003673D4">
        <w:rPr>
          <w:rFonts w:ascii="Calibri" w:hAnsi="Calibri" w:cs="Arial"/>
          <w:sz w:val="22"/>
          <w:szCs w:val="22"/>
        </w:rPr>
        <w:t xml:space="preserve">We </w:t>
      </w:r>
      <w:r w:rsidR="00711ED3">
        <w:rPr>
          <w:rFonts w:ascii="Calibri" w:hAnsi="Calibri" w:cs="Arial"/>
          <w:sz w:val="22"/>
          <w:szCs w:val="22"/>
        </w:rPr>
        <w:t>seek to</w:t>
      </w:r>
      <w:r w:rsidRPr="003673D4">
        <w:rPr>
          <w:rFonts w:ascii="Calibri" w:hAnsi="Calibri" w:cs="Arial"/>
          <w:sz w:val="22"/>
          <w:szCs w:val="22"/>
        </w:rPr>
        <w:t xml:space="preserve"> disclose our historic voting information </w:t>
      </w:r>
      <w:r w:rsidR="0065399A">
        <w:rPr>
          <w:rFonts w:ascii="Calibri" w:hAnsi="Calibri" w:cs="Arial"/>
          <w:sz w:val="22"/>
          <w:szCs w:val="22"/>
        </w:rPr>
        <w:t>through the Falkirk Council website</w:t>
      </w:r>
      <w:r w:rsidR="00E579FD">
        <w:rPr>
          <w:rFonts w:ascii="Calibri" w:hAnsi="Calibri" w:cs="Arial"/>
          <w:sz w:val="22"/>
          <w:szCs w:val="22"/>
        </w:rPr>
        <w:t>.</w:t>
      </w:r>
      <w:r w:rsidRPr="003673D4">
        <w:rPr>
          <w:rFonts w:ascii="Calibri" w:hAnsi="Calibri" w:cs="Arial"/>
          <w:sz w:val="22"/>
          <w:szCs w:val="22"/>
        </w:rPr>
        <w:t xml:space="preserve">  </w:t>
      </w:r>
      <w:r w:rsidR="008408DF">
        <w:rPr>
          <w:rFonts w:ascii="Calibri" w:hAnsi="Calibri" w:cs="Arial"/>
          <w:sz w:val="22"/>
          <w:szCs w:val="22"/>
        </w:rPr>
        <w:t xml:space="preserve">Our disclosures seek to include </w:t>
      </w:r>
      <w:r w:rsidRPr="003673D4">
        <w:rPr>
          <w:rFonts w:ascii="Calibri" w:hAnsi="Calibri" w:cs="Arial"/>
          <w:sz w:val="22"/>
          <w:szCs w:val="22"/>
        </w:rPr>
        <w:t>the total number of votes cast at which company meetings and whether the votes were cast for or against company management.  We disclose this information in arrears so that we are transparent and accountable and dialogue with companies in our portfolios is not compromised.</w:t>
      </w:r>
      <w:r w:rsidRPr="00714414">
        <w:t xml:space="preserve"> </w:t>
      </w:r>
    </w:p>
    <w:p w14:paraId="4779A589" w14:textId="06DB3DB5" w:rsidR="003E0565" w:rsidRPr="00130F00" w:rsidRDefault="003E0565" w:rsidP="00130F00">
      <w:pPr>
        <w:pStyle w:val="Paragraph"/>
        <w:numPr>
          <w:ilvl w:val="0"/>
          <w:numId w:val="12"/>
        </w:numPr>
        <w:autoSpaceDE w:val="0"/>
        <w:autoSpaceDN w:val="0"/>
        <w:adjustRightInd w:val="0"/>
        <w:spacing w:before="120" w:after="200"/>
        <w:ind w:left="714" w:hanging="357"/>
        <w:rPr>
          <w:rFonts w:ascii="Calibri" w:hAnsi="Calibri" w:cs="Arial"/>
          <w:sz w:val="22"/>
          <w:szCs w:val="22"/>
        </w:rPr>
      </w:pPr>
      <w:r w:rsidRPr="00130F00">
        <w:rPr>
          <w:rFonts w:ascii="Calibri" w:hAnsi="Calibri" w:cs="Arial"/>
          <w:sz w:val="22"/>
          <w:szCs w:val="22"/>
        </w:rPr>
        <w:t>We also report annually on stewardship</w:t>
      </w:r>
      <w:r w:rsidR="00130F00">
        <w:rPr>
          <w:rFonts w:ascii="Calibri" w:hAnsi="Calibri" w:cs="Arial"/>
          <w:sz w:val="22"/>
          <w:szCs w:val="22"/>
        </w:rPr>
        <w:t xml:space="preserve"> and voting activity directly</w:t>
      </w:r>
      <w:r w:rsidRPr="00130F00">
        <w:rPr>
          <w:rFonts w:ascii="Calibri" w:hAnsi="Calibri" w:cs="Arial"/>
          <w:sz w:val="22"/>
          <w:szCs w:val="22"/>
        </w:rPr>
        <w:t xml:space="preserve"> to the </w:t>
      </w:r>
      <w:r w:rsidR="003673D4">
        <w:rPr>
          <w:rFonts w:ascii="Calibri" w:hAnsi="Calibri" w:cs="Arial"/>
          <w:sz w:val="22"/>
          <w:szCs w:val="22"/>
        </w:rPr>
        <w:t xml:space="preserve">quarterly </w:t>
      </w:r>
      <w:r w:rsidRPr="00130F00">
        <w:rPr>
          <w:rFonts w:ascii="Calibri" w:hAnsi="Calibri" w:cs="Arial"/>
          <w:sz w:val="22"/>
          <w:szCs w:val="22"/>
        </w:rPr>
        <w:t>Pensions Committee</w:t>
      </w:r>
      <w:r w:rsidR="003673D4">
        <w:rPr>
          <w:rFonts w:ascii="Calibri" w:hAnsi="Calibri" w:cs="Arial"/>
          <w:sz w:val="22"/>
          <w:szCs w:val="22"/>
        </w:rPr>
        <w:t xml:space="preserve"> and Board</w:t>
      </w:r>
      <w:r w:rsidRPr="00130F00">
        <w:rPr>
          <w:rFonts w:ascii="Calibri" w:hAnsi="Calibri" w:cs="Arial"/>
          <w:sz w:val="22"/>
          <w:szCs w:val="22"/>
        </w:rPr>
        <w:t>.</w:t>
      </w:r>
    </w:p>
    <w:p w14:paraId="62DDFD75" w14:textId="15244D1E" w:rsidR="00D65F0B" w:rsidRDefault="00D65F0B">
      <w:pPr>
        <w:rPr>
          <w:rFonts w:ascii="Calibri" w:eastAsia="Times New Roman" w:hAnsi="Calibri" w:cs="Arial"/>
          <w:lang w:eastAsia="en-GB"/>
        </w:rPr>
      </w:pPr>
      <w:r>
        <w:rPr>
          <w:rFonts w:ascii="Calibri" w:eastAsia="Times New Roman" w:hAnsi="Calibri" w:cs="Arial"/>
          <w:lang w:eastAsia="en-GB"/>
        </w:rPr>
        <w:br w:type="page"/>
      </w:r>
    </w:p>
    <w:p w14:paraId="2CAF4440" w14:textId="77777777" w:rsidR="005A597A" w:rsidRPr="005A597A" w:rsidRDefault="005A597A" w:rsidP="00D12761">
      <w:pPr>
        <w:rPr>
          <w:rFonts w:ascii="Calibri" w:eastAsia="Times New Roman" w:hAnsi="Calibri" w:cs="Arial"/>
          <w:lang w:eastAsia="en-GB"/>
        </w:rPr>
      </w:pPr>
    </w:p>
    <w:p w14:paraId="79515275" w14:textId="77777777" w:rsidR="00D12761" w:rsidRPr="00FE6695" w:rsidRDefault="0037222B" w:rsidP="00D12761">
      <w:pPr>
        <w:pStyle w:val="Heading1"/>
        <w:ind w:left="567" w:hanging="567"/>
      </w:pPr>
      <w:r>
        <w:t>appendix D</w:t>
      </w:r>
      <w:r w:rsidR="002039BB">
        <w:t xml:space="preserve"> – CIPFA Principles for investment decision making</w:t>
      </w:r>
      <w:r w:rsidR="002B3856">
        <w:t xml:space="preserve"> and disclosure</w:t>
      </w:r>
    </w:p>
    <w:p w14:paraId="3FD5545B" w14:textId="77777777" w:rsidR="00D12761" w:rsidRPr="008E1D41" w:rsidRDefault="00D12761" w:rsidP="008E1D41">
      <w:pPr>
        <w:spacing w:before="0" w:after="0" w:line="240" w:lineRule="auto"/>
        <w:jc w:val="both"/>
        <w:rPr>
          <w:rFonts w:ascii="Calibri" w:hAnsi="Calibri" w:cs="Arial"/>
        </w:rPr>
      </w:pPr>
    </w:p>
    <w:p w14:paraId="7611F8A7" w14:textId="61590073" w:rsidR="002039BB" w:rsidRPr="00FC4041" w:rsidRDefault="002B3856" w:rsidP="008E1D41">
      <w:pPr>
        <w:spacing w:before="0" w:after="0"/>
        <w:rPr>
          <w:rFonts w:ascii="Calibri" w:hAnsi="Calibri" w:cs="Arial"/>
        </w:rPr>
      </w:pPr>
      <w:r>
        <w:rPr>
          <w:rFonts w:ascii="Calibri" w:hAnsi="Calibri" w:cs="Arial"/>
        </w:rPr>
        <w:t>T</w:t>
      </w:r>
      <w:r w:rsidR="00FC4041">
        <w:rPr>
          <w:rFonts w:ascii="Calibri" w:hAnsi="Calibri" w:cs="Arial"/>
        </w:rPr>
        <w:t>he Chartered Institute of Public Finance and Accountancy</w:t>
      </w:r>
      <w:r>
        <w:rPr>
          <w:rFonts w:ascii="Calibri" w:hAnsi="Calibri" w:cs="Arial"/>
        </w:rPr>
        <w:t xml:space="preserve"> (CIPFA) published six Principles for Investment Decision Making and Disclosure in the Local Governance Pension Scheme in the UK in 2012.</w:t>
      </w:r>
      <w:r w:rsidR="002039BB" w:rsidRPr="00FC4041">
        <w:rPr>
          <w:rFonts w:ascii="Calibri" w:hAnsi="Calibri" w:cs="Arial"/>
        </w:rPr>
        <w:t xml:space="preserve"> </w:t>
      </w:r>
      <w:r>
        <w:rPr>
          <w:rFonts w:ascii="Calibri" w:hAnsi="Calibri" w:cs="Arial"/>
        </w:rPr>
        <w:t xml:space="preserve"> </w:t>
      </w:r>
      <w:r w:rsidR="002039BB" w:rsidRPr="00FC4041">
        <w:rPr>
          <w:rFonts w:ascii="Calibri" w:hAnsi="Calibri" w:cs="Arial"/>
        </w:rPr>
        <w:t>Details of the principles and the Fund’</w:t>
      </w:r>
      <w:r w:rsidR="00037CA4">
        <w:rPr>
          <w:rFonts w:ascii="Calibri" w:hAnsi="Calibri" w:cs="Arial"/>
        </w:rPr>
        <w:t>s</w:t>
      </w:r>
      <w:r w:rsidR="002039BB" w:rsidRPr="00FC4041">
        <w:rPr>
          <w:rFonts w:ascii="Calibri" w:hAnsi="Calibri" w:cs="Arial"/>
        </w:rPr>
        <w:t xml:space="preserve"> compliance are described below.  </w:t>
      </w:r>
    </w:p>
    <w:p w14:paraId="2A7D1774" w14:textId="77777777" w:rsidR="008E1D41" w:rsidRDefault="008E1D41" w:rsidP="008E1D41">
      <w:pPr>
        <w:spacing w:before="0" w:after="0"/>
        <w:rPr>
          <w:rFonts w:ascii="Calibri" w:hAnsi="Calibri" w:cs="Arial"/>
        </w:rPr>
      </w:pPr>
    </w:p>
    <w:p w14:paraId="6EF9524B" w14:textId="77777777" w:rsidR="00E54BE8" w:rsidRPr="00FC4041" w:rsidRDefault="00E54BE8" w:rsidP="008E1D41">
      <w:pPr>
        <w:spacing w:before="0" w:after="0"/>
        <w:rPr>
          <w:rFonts w:ascii="Calibri" w:hAnsi="Calibri" w:cs="Arial"/>
        </w:rPr>
      </w:pPr>
    </w:p>
    <w:p w14:paraId="1BF98F7D" w14:textId="505CD7EA" w:rsidR="002039BB" w:rsidRPr="00FC4041" w:rsidRDefault="002039BB" w:rsidP="00A953B5">
      <w:pPr>
        <w:tabs>
          <w:tab w:val="left" w:pos="0"/>
        </w:tabs>
        <w:spacing w:before="0" w:after="0"/>
        <w:rPr>
          <w:rFonts w:ascii="Calibri" w:hAnsi="Calibri" w:cs="Arial"/>
          <w:b/>
        </w:rPr>
      </w:pPr>
      <w:r w:rsidRPr="00FC4041">
        <w:rPr>
          <w:rFonts w:ascii="Calibri" w:hAnsi="Calibri" w:cs="Arial"/>
          <w:b/>
        </w:rPr>
        <w:t>Principle 1 – Effective decision</w:t>
      </w:r>
      <w:r w:rsidR="00491609">
        <w:rPr>
          <w:rFonts w:ascii="Calibri" w:hAnsi="Calibri" w:cs="Arial"/>
          <w:b/>
        </w:rPr>
        <w:t>-</w:t>
      </w:r>
      <w:r w:rsidRPr="00FC4041">
        <w:rPr>
          <w:rFonts w:ascii="Calibri" w:hAnsi="Calibri" w:cs="Arial"/>
          <w:b/>
        </w:rPr>
        <w:t>making</w:t>
      </w:r>
    </w:p>
    <w:p w14:paraId="500279CA" w14:textId="7842F4D9" w:rsidR="00133ADB" w:rsidRDefault="002039BB" w:rsidP="00491609">
      <w:pPr>
        <w:autoSpaceDE w:val="0"/>
        <w:autoSpaceDN w:val="0"/>
        <w:adjustRightInd w:val="0"/>
        <w:jc w:val="both"/>
        <w:rPr>
          <w:rFonts w:ascii="Calibri" w:hAnsi="Calibri" w:cs="Arial"/>
          <w:i/>
          <w:color w:val="000000"/>
        </w:rPr>
      </w:pPr>
      <w:r w:rsidRPr="00FC4041">
        <w:rPr>
          <w:rFonts w:ascii="Calibri" w:hAnsi="Calibri" w:cs="Arial"/>
          <w:i/>
          <w:color w:val="000000"/>
        </w:rPr>
        <w:t xml:space="preserve">Administering authorities should ensure that decisions are taken by persons or organisations with the skills, knowledge, </w:t>
      </w:r>
      <w:proofErr w:type="gramStart"/>
      <w:r w:rsidRPr="00FC4041">
        <w:rPr>
          <w:rFonts w:ascii="Calibri" w:hAnsi="Calibri" w:cs="Arial"/>
          <w:i/>
          <w:color w:val="000000"/>
        </w:rPr>
        <w:t>advice</w:t>
      </w:r>
      <w:proofErr w:type="gramEnd"/>
      <w:r w:rsidRPr="00FC4041">
        <w:rPr>
          <w:rFonts w:ascii="Calibri" w:hAnsi="Calibri" w:cs="Arial"/>
          <w:i/>
          <w:color w:val="000000"/>
        </w:rPr>
        <w:t xml:space="preserve"> and resources necessary to take them effectively and monitor their implementation</w:t>
      </w:r>
      <w:r w:rsidR="00133ADB">
        <w:rPr>
          <w:rFonts w:ascii="Calibri" w:hAnsi="Calibri" w:cs="Arial"/>
          <w:color w:val="000000"/>
        </w:rPr>
        <w:t xml:space="preserve">.   </w:t>
      </w:r>
      <w:r w:rsidRPr="00FC4041">
        <w:rPr>
          <w:rFonts w:ascii="Calibri" w:hAnsi="Calibri" w:cs="Arial"/>
          <w:i/>
          <w:color w:val="000000"/>
        </w:rPr>
        <w:t xml:space="preserve">Those persons or organisations should have sufficient expertise to be able to evaluate and challenge the advice they </w:t>
      </w:r>
      <w:r w:rsidR="00491609" w:rsidRPr="00FC4041">
        <w:rPr>
          <w:rFonts w:ascii="Calibri" w:hAnsi="Calibri" w:cs="Arial"/>
          <w:i/>
          <w:color w:val="000000"/>
        </w:rPr>
        <w:t>receive and</w:t>
      </w:r>
      <w:r w:rsidRPr="00FC4041">
        <w:rPr>
          <w:rFonts w:ascii="Calibri" w:hAnsi="Calibri" w:cs="Arial"/>
          <w:i/>
          <w:color w:val="000000"/>
        </w:rPr>
        <w:t xml:space="preserve"> manage conflicts of interest.</w:t>
      </w:r>
    </w:p>
    <w:p w14:paraId="0A0709E3" w14:textId="71CCD85D" w:rsidR="00A953B5"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The Fund’</w:t>
      </w:r>
      <w:r w:rsidR="00A13A12">
        <w:rPr>
          <w:rFonts w:ascii="Calibri" w:hAnsi="Calibri" w:cs="Arial"/>
          <w:sz w:val="22"/>
          <w:szCs w:val="22"/>
        </w:rPr>
        <w:t>s</w:t>
      </w:r>
      <w:r w:rsidRPr="00FC4041">
        <w:rPr>
          <w:rFonts w:ascii="Calibri" w:hAnsi="Calibri" w:cs="Arial"/>
          <w:sz w:val="22"/>
          <w:szCs w:val="22"/>
        </w:rPr>
        <w:t xml:space="preserve"> Training Policy (comprising a compulsory training seminar for all new </w:t>
      </w:r>
      <w:r w:rsidR="002B3284">
        <w:rPr>
          <w:rFonts w:ascii="Calibri" w:hAnsi="Calibri" w:cs="Arial"/>
          <w:sz w:val="22"/>
          <w:szCs w:val="22"/>
        </w:rPr>
        <w:t xml:space="preserve">Committee and Board members </w:t>
      </w:r>
      <w:r w:rsidRPr="00FC4041">
        <w:rPr>
          <w:rFonts w:ascii="Calibri" w:hAnsi="Calibri" w:cs="Arial"/>
          <w:sz w:val="22"/>
          <w:szCs w:val="22"/>
        </w:rPr>
        <w:t>and ongoing training</w:t>
      </w:r>
      <w:r w:rsidR="002B3284">
        <w:rPr>
          <w:rFonts w:ascii="Calibri" w:hAnsi="Calibri" w:cs="Arial"/>
          <w:sz w:val="22"/>
          <w:szCs w:val="22"/>
        </w:rPr>
        <w:t xml:space="preserve">) </w:t>
      </w:r>
      <w:r w:rsidRPr="00FC4041">
        <w:rPr>
          <w:rFonts w:ascii="Calibri" w:hAnsi="Calibri" w:cs="Arial"/>
          <w:sz w:val="22"/>
          <w:szCs w:val="22"/>
        </w:rPr>
        <w:t>provides the knowledge to enable them to evaluate and challenge the advice they receive. S</w:t>
      </w:r>
      <w:r w:rsidRPr="00FC4041">
        <w:rPr>
          <w:rFonts w:ascii="Calibri" w:hAnsi="Calibri" w:cs="Arial"/>
          <w:snapToGrid w:val="0"/>
          <w:sz w:val="22"/>
          <w:szCs w:val="22"/>
        </w:rPr>
        <w:t xml:space="preserve">tandards relating to the administration of the Committee’s business are strictly </w:t>
      </w:r>
      <w:r w:rsidR="00491609" w:rsidRPr="00FC4041">
        <w:rPr>
          <w:rFonts w:ascii="Calibri" w:hAnsi="Calibri" w:cs="Arial"/>
          <w:snapToGrid w:val="0"/>
          <w:sz w:val="22"/>
          <w:szCs w:val="22"/>
        </w:rPr>
        <w:t>upheld</w:t>
      </w:r>
      <w:r w:rsidRPr="00FC4041">
        <w:rPr>
          <w:rFonts w:ascii="Calibri" w:hAnsi="Calibri" w:cs="Arial"/>
          <w:snapToGrid w:val="0"/>
          <w:sz w:val="22"/>
          <w:szCs w:val="22"/>
        </w:rPr>
        <w:t xml:space="preserve">. </w:t>
      </w:r>
    </w:p>
    <w:p w14:paraId="30E36DB8" w14:textId="0294F731" w:rsidR="008E1D41"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 xml:space="preserve">The Pensions Committee focuses on setting the strategy for the Fund and monitoring performance. The Pension Board also attends Committee meetings and is responsible for assisting the Committee in securing compliance with relevant regulations and other legislation.  </w:t>
      </w:r>
    </w:p>
    <w:p w14:paraId="1FF4ECBC" w14:textId="18F8D182" w:rsidR="008E1D41" w:rsidRPr="00A953B5" w:rsidRDefault="00A13A12" w:rsidP="00EB35F1">
      <w:pPr>
        <w:pStyle w:val="Paragraph"/>
        <w:numPr>
          <w:ilvl w:val="0"/>
          <w:numId w:val="12"/>
        </w:numPr>
        <w:autoSpaceDE w:val="0"/>
        <w:autoSpaceDN w:val="0"/>
        <w:adjustRightInd w:val="0"/>
        <w:spacing w:after="200"/>
        <w:ind w:left="714" w:hanging="357"/>
        <w:rPr>
          <w:rFonts w:ascii="Calibri" w:hAnsi="Calibri" w:cs="Arial"/>
          <w:sz w:val="22"/>
          <w:szCs w:val="22"/>
        </w:rPr>
      </w:pPr>
      <w:r>
        <w:rPr>
          <w:rFonts w:ascii="Calibri" w:hAnsi="Calibri" w:cs="Arial"/>
          <w:sz w:val="22"/>
          <w:szCs w:val="22"/>
        </w:rPr>
        <w:t xml:space="preserve">The Chief Finance Officer, supported by the Pensions Manager, is responsible for the day to day </w:t>
      </w:r>
      <w:r w:rsidR="002039BB" w:rsidRPr="00FC4041">
        <w:rPr>
          <w:rFonts w:ascii="Calibri" w:hAnsi="Calibri" w:cs="Arial"/>
          <w:sz w:val="22"/>
          <w:szCs w:val="22"/>
        </w:rPr>
        <w:t>running of the Fund</w:t>
      </w:r>
      <w:r w:rsidR="005A7D4C">
        <w:rPr>
          <w:rFonts w:ascii="Calibri" w:hAnsi="Calibri" w:cs="Arial"/>
          <w:sz w:val="22"/>
          <w:szCs w:val="22"/>
        </w:rPr>
        <w:t xml:space="preserve">. </w:t>
      </w:r>
      <w:r w:rsidR="002039BB" w:rsidRPr="00D87001">
        <w:rPr>
          <w:rFonts w:ascii="Calibri" w:hAnsi="Calibri" w:cs="Arial"/>
          <w:sz w:val="22"/>
          <w:szCs w:val="22"/>
        </w:rPr>
        <w:t>The</w:t>
      </w:r>
      <w:r w:rsidR="002039BB" w:rsidRPr="00A953B5">
        <w:rPr>
          <w:rFonts w:ascii="Calibri" w:hAnsi="Calibri" w:cs="Arial"/>
          <w:sz w:val="22"/>
          <w:szCs w:val="22"/>
        </w:rPr>
        <w:t xml:space="preserve"> </w:t>
      </w:r>
      <w:r>
        <w:rPr>
          <w:rFonts w:ascii="Calibri" w:hAnsi="Calibri" w:cs="Arial"/>
          <w:sz w:val="22"/>
          <w:szCs w:val="22"/>
        </w:rPr>
        <w:t xml:space="preserve">Chief Finance Officer </w:t>
      </w:r>
      <w:r w:rsidR="002039BB" w:rsidRPr="00A953B5">
        <w:rPr>
          <w:rFonts w:ascii="Calibri" w:hAnsi="Calibri" w:cs="Arial"/>
          <w:sz w:val="22"/>
          <w:szCs w:val="22"/>
        </w:rPr>
        <w:t xml:space="preserve">is </w:t>
      </w:r>
      <w:r>
        <w:rPr>
          <w:rFonts w:ascii="Calibri" w:hAnsi="Calibri" w:cs="Arial"/>
          <w:sz w:val="22"/>
          <w:szCs w:val="22"/>
        </w:rPr>
        <w:t xml:space="preserve">also </w:t>
      </w:r>
      <w:r w:rsidR="002039BB" w:rsidRPr="00A953B5">
        <w:rPr>
          <w:rFonts w:ascii="Calibri" w:hAnsi="Calibri" w:cs="Arial"/>
          <w:sz w:val="22"/>
          <w:szCs w:val="22"/>
        </w:rPr>
        <w:t xml:space="preserve">responsible for the provision of the training plan for Committee to help them to make effective decisions to ensure that they are fully aware of their statutory and fiduciary responsibilities, and to regularly remind </w:t>
      </w:r>
      <w:r w:rsidR="008E1D41" w:rsidRPr="00A953B5">
        <w:rPr>
          <w:rFonts w:ascii="Calibri" w:hAnsi="Calibri" w:cs="Arial"/>
          <w:sz w:val="22"/>
          <w:szCs w:val="22"/>
        </w:rPr>
        <w:t>them of their stewardship role.</w:t>
      </w:r>
    </w:p>
    <w:p w14:paraId="122AA751" w14:textId="3C5B5388" w:rsidR="008E1D41"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 xml:space="preserve">The </w:t>
      </w:r>
      <w:r w:rsidR="002B3856" w:rsidRPr="00A953B5">
        <w:rPr>
          <w:rFonts w:ascii="Calibri" w:hAnsi="Calibri" w:cs="Arial"/>
          <w:sz w:val="22"/>
          <w:szCs w:val="22"/>
        </w:rPr>
        <w:t xml:space="preserve">Joint </w:t>
      </w:r>
      <w:r w:rsidRPr="00A953B5">
        <w:rPr>
          <w:rFonts w:ascii="Calibri" w:hAnsi="Calibri" w:cs="Arial"/>
          <w:sz w:val="22"/>
          <w:szCs w:val="22"/>
        </w:rPr>
        <w:t xml:space="preserve">Investment </w:t>
      </w:r>
      <w:r w:rsidR="00E579FD">
        <w:rPr>
          <w:rFonts w:ascii="Calibri" w:hAnsi="Calibri" w:cs="Arial"/>
          <w:sz w:val="22"/>
          <w:szCs w:val="22"/>
        </w:rPr>
        <w:t xml:space="preserve">Forum </w:t>
      </w:r>
      <w:r w:rsidRPr="00A953B5">
        <w:rPr>
          <w:rFonts w:ascii="Calibri" w:hAnsi="Calibri" w:cs="Arial"/>
          <w:sz w:val="22"/>
          <w:szCs w:val="22"/>
        </w:rPr>
        <w:t xml:space="preserve">advises the </w:t>
      </w:r>
      <w:r w:rsidR="00A13A12">
        <w:rPr>
          <w:rFonts w:ascii="Calibri" w:hAnsi="Calibri" w:cs="Arial"/>
          <w:sz w:val="22"/>
          <w:szCs w:val="22"/>
        </w:rPr>
        <w:t xml:space="preserve">Chief Finance Officer </w:t>
      </w:r>
      <w:r w:rsidRPr="00A953B5">
        <w:rPr>
          <w:rFonts w:ascii="Calibri" w:hAnsi="Calibri" w:cs="Arial"/>
          <w:sz w:val="22"/>
          <w:szCs w:val="22"/>
        </w:rPr>
        <w:t>on the implementation of the agreed</w:t>
      </w:r>
      <w:r w:rsidRPr="00FC4041">
        <w:rPr>
          <w:rFonts w:ascii="Calibri" w:hAnsi="Calibri" w:cs="Arial"/>
          <w:sz w:val="22"/>
          <w:szCs w:val="22"/>
        </w:rPr>
        <w:t xml:space="preserve"> strategies, reviewing structure, funding monitoring, </w:t>
      </w:r>
      <w:r w:rsidRPr="00D87001">
        <w:rPr>
          <w:rFonts w:ascii="Calibri" w:hAnsi="Calibri" w:cs="Arial"/>
          <w:sz w:val="22"/>
          <w:szCs w:val="22"/>
        </w:rPr>
        <w:t xml:space="preserve">performance and risk and asset allocation. The </w:t>
      </w:r>
      <w:r w:rsidR="002B3856" w:rsidRPr="00D87001">
        <w:rPr>
          <w:rFonts w:ascii="Calibri" w:hAnsi="Calibri" w:cs="Arial"/>
          <w:sz w:val="22"/>
          <w:szCs w:val="22"/>
        </w:rPr>
        <w:t xml:space="preserve">Joint </w:t>
      </w:r>
      <w:r w:rsidRPr="00D87001">
        <w:rPr>
          <w:rFonts w:ascii="Calibri" w:hAnsi="Calibri" w:cs="Arial"/>
          <w:sz w:val="22"/>
          <w:szCs w:val="22"/>
        </w:rPr>
        <w:t xml:space="preserve">Investment </w:t>
      </w:r>
      <w:r w:rsidR="00E579FD">
        <w:rPr>
          <w:rFonts w:ascii="Calibri" w:hAnsi="Calibri" w:cs="Arial"/>
          <w:sz w:val="22"/>
          <w:szCs w:val="22"/>
        </w:rPr>
        <w:t xml:space="preserve">Forum </w:t>
      </w:r>
      <w:r w:rsidRPr="00D87001">
        <w:rPr>
          <w:rFonts w:ascii="Calibri" w:hAnsi="Calibri" w:cs="Arial"/>
          <w:sz w:val="22"/>
          <w:szCs w:val="22"/>
        </w:rPr>
        <w:t>meets</w:t>
      </w:r>
      <w:r w:rsidR="00714414" w:rsidRPr="00D87001">
        <w:rPr>
          <w:rFonts w:ascii="Calibri" w:hAnsi="Calibri" w:cs="Arial"/>
          <w:sz w:val="22"/>
          <w:szCs w:val="22"/>
        </w:rPr>
        <w:t xml:space="preserve"> at least </w:t>
      </w:r>
      <w:r w:rsidRPr="00D87001">
        <w:rPr>
          <w:rFonts w:ascii="Calibri" w:hAnsi="Calibri" w:cs="Arial"/>
          <w:sz w:val="22"/>
          <w:szCs w:val="22"/>
        </w:rPr>
        <w:t>quarterly and is made up of experienced investment professionals, including independent advisers</w:t>
      </w:r>
      <w:r w:rsidRPr="00FC4041">
        <w:rPr>
          <w:rFonts w:ascii="Calibri" w:hAnsi="Calibri" w:cs="Arial"/>
          <w:sz w:val="22"/>
          <w:szCs w:val="22"/>
        </w:rPr>
        <w:t xml:space="preserve">.  </w:t>
      </w:r>
    </w:p>
    <w:p w14:paraId="096178B0" w14:textId="53839670" w:rsidR="008E1D41"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 xml:space="preserve">The in-house team undertakes day-to-day monitoring of the Fund. The team includes personnel with suitable professional qualifications and experience to provide the necessary skills, knowledge, </w:t>
      </w:r>
      <w:proofErr w:type="gramStart"/>
      <w:r w:rsidRPr="00FC4041">
        <w:rPr>
          <w:rFonts w:ascii="Calibri" w:hAnsi="Calibri" w:cs="Arial"/>
          <w:sz w:val="22"/>
          <w:szCs w:val="22"/>
        </w:rPr>
        <w:t>advice</w:t>
      </w:r>
      <w:proofErr w:type="gramEnd"/>
      <w:r w:rsidRPr="00FC4041">
        <w:rPr>
          <w:rFonts w:ascii="Calibri" w:hAnsi="Calibri" w:cs="Arial"/>
          <w:sz w:val="22"/>
          <w:szCs w:val="22"/>
        </w:rPr>
        <w:t xml:space="preserve"> and resources to support the </w:t>
      </w:r>
      <w:r w:rsidR="002B3856" w:rsidRPr="00A953B5">
        <w:rPr>
          <w:rFonts w:ascii="Calibri" w:hAnsi="Calibri" w:cs="Arial"/>
          <w:sz w:val="22"/>
          <w:szCs w:val="22"/>
        </w:rPr>
        <w:t xml:space="preserve">Joint </w:t>
      </w:r>
      <w:r w:rsidRPr="00FC4041">
        <w:rPr>
          <w:rFonts w:ascii="Calibri" w:hAnsi="Calibri" w:cs="Arial"/>
          <w:sz w:val="22"/>
          <w:szCs w:val="22"/>
        </w:rPr>
        <w:t xml:space="preserve">Investment </w:t>
      </w:r>
      <w:r w:rsidR="00E579FD">
        <w:rPr>
          <w:rFonts w:ascii="Calibri" w:hAnsi="Calibri" w:cs="Arial"/>
          <w:sz w:val="22"/>
          <w:szCs w:val="22"/>
        </w:rPr>
        <w:t xml:space="preserve">Forum </w:t>
      </w:r>
      <w:r w:rsidR="008E1D41" w:rsidRPr="00FC4041">
        <w:rPr>
          <w:rFonts w:ascii="Calibri" w:hAnsi="Calibri" w:cs="Arial"/>
          <w:sz w:val="22"/>
          <w:szCs w:val="22"/>
        </w:rPr>
        <w:t>and the Pensions Committee.</w:t>
      </w:r>
    </w:p>
    <w:p w14:paraId="7B5FBC7E" w14:textId="46815A9E" w:rsid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Conflicts of interest are managed actively. At each Committee meeting, elected members of the Pensions Committee and Pensions Board are asked to highlight conflicts of interest.</w:t>
      </w:r>
      <w:r w:rsidR="002B3856" w:rsidRPr="00A953B5">
        <w:rPr>
          <w:rFonts w:ascii="Calibri" w:hAnsi="Calibri" w:cs="Arial"/>
          <w:sz w:val="22"/>
          <w:szCs w:val="22"/>
        </w:rPr>
        <w:t xml:space="preserve"> </w:t>
      </w:r>
      <w:r w:rsidRPr="00FC4041">
        <w:rPr>
          <w:rFonts w:ascii="Calibri" w:hAnsi="Calibri" w:cs="Arial"/>
          <w:sz w:val="22"/>
          <w:szCs w:val="22"/>
        </w:rPr>
        <w:t xml:space="preserve"> A </w:t>
      </w:r>
      <w:r w:rsidR="00A13A12">
        <w:rPr>
          <w:rFonts w:ascii="Calibri" w:hAnsi="Calibri" w:cs="Arial"/>
          <w:sz w:val="22"/>
          <w:szCs w:val="22"/>
        </w:rPr>
        <w:t xml:space="preserve">Conflicts of Interest policy </w:t>
      </w:r>
      <w:r w:rsidRPr="00FC4041">
        <w:rPr>
          <w:rFonts w:ascii="Calibri" w:hAnsi="Calibri" w:cs="Arial"/>
          <w:sz w:val="22"/>
          <w:szCs w:val="22"/>
        </w:rPr>
        <w:t>applies to members of the Committee and the Pension Board</w:t>
      </w:r>
      <w:r w:rsidR="00A13A12">
        <w:rPr>
          <w:rFonts w:ascii="Calibri" w:hAnsi="Calibri" w:cs="Arial"/>
          <w:sz w:val="22"/>
          <w:szCs w:val="22"/>
        </w:rPr>
        <w:t xml:space="preserve"> </w:t>
      </w:r>
      <w:r w:rsidR="002B3284">
        <w:rPr>
          <w:rFonts w:ascii="Calibri" w:hAnsi="Calibri" w:cs="Arial"/>
          <w:sz w:val="22"/>
          <w:szCs w:val="22"/>
        </w:rPr>
        <w:t>t</w:t>
      </w:r>
      <w:r w:rsidR="00A13A12">
        <w:rPr>
          <w:rFonts w:ascii="Calibri" w:hAnsi="Calibri" w:cs="Arial"/>
          <w:sz w:val="22"/>
          <w:szCs w:val="22"/>
        </w:rPr>
        <w:t xml:space="preserve">o ensure that </w:t>
      </w:r>
      <w:r w:rsidRPr="00FC4041">
        <w:rPr>
          <w:rFonts w:ascii="Calibri" w:hAnsi="Calibri" w:cs="Arial"/>
          <w:sz w:val="22"/>
          <w:szCs w:val="22"/>
        </w:rPr>
        <w:t>conflicts of interest are highlighted and managed appropriately.</w:t>
      </w:r>
    </w:p>
    <w:p w14:paraId="6B7E4274" w14:textId="77777777" w:rsidR="002B3284" w:rsidRDefault="002B3284" w:rsidP="00A953B5">
      <w:pPr>
        <w:tabs>
          <w:tab w:val="left" w:pos="0"/>
        </w:tabs>
        <w:spacing w:before="0" w:after="0"/>
        <w:rPr>
          <w:rFonts w:ascii="Calibri" w:hAnsi="Calibri" w:cs="Arial"/>
          <w:b/>
        </w:rPr>
      </w:pPr>
    </w:p>
    <w:p w14:paraId="38033AF3" w14:textId="77777777" w:rsidR="00E54BE8" w:rsidRDefault="00E54BE8">
      <w:pPr>
        <w:rPr>
          <w:rFonts w:ascii="Calibri" w:hAnsi="Calibri" w:cs="Arial"/>
          <w:b/>
        </w:rPr>
      </w:pPr>
      <w:r>
        <w:rPr>
          <w:rFonts w:ascii="Calibri" w:hAnsi="Calibri" w:cs="Arial"/>
          <w:b/>
        </w:rPr>
        <w:br w:type="page"/>
      </w:r>
    </w:p>
    <w:p w14:paraId="22CF35B2" w14:textId="4EBCB1F1" w:rsidR="002039BB" w:rsidRPr="00FC4041" w:rsidRDefault="002039BB" w:rsidP="00A953B5">
      <w:pPr>
        <w:tabs>
          <w:tab w:val="left" w:pos="0"/>
        </w:tabs>
        <w:spacing w:before="0" w:after="0"/>
        <w:rPr>
          <w:rFonts w:ascii="Calibri" w:hAnsi="Calibri" w:cs="Arial"/>
          <w:b/>
        </w:rPr>
      </w:pPr>
      <w:r w:rsidRPr="00FC4041">
        <w:rPr>
          <w:rFonts w:ascii="Calibri" w:hAnsi="Calibri" w:cs="Arial"/>
          <w:b/>
        </w:rPr>
        <w:lastRenderedPageBreak/>
        <w:t>Principle 2 – Clear Objectives</w:t>
      </w:r>
    </w:p>
    <w:p w14:paraId="024BB453" w14:textId="4EFC898B" w:rsidR="002039BB" w:rsidRPr="00FC4041" w:rsidRDefault="002039BB" w:rsidP="00491609">
      <w:pPr>
        <w:autoSpaceDE w:val="0"/>
        <w:autoSpaceDN w:val="0"/>
        <w:adjustRightInd w:val="0"/>
        <w:jc w:val="both"/>
        <w:rPr>
          <w:rFonts w:ascii="Calibri" w:hAnsi="Calibri" w:cs="Arial"/>
          <w:i/>
          <w:color w:val="000000"/>
        </w:rPr>
      </w:pPr>
      <w:r w:rsidRPr="00FC4041">
        <w:rPr>
          <w:rFonts w:ascii="Calibri" w:hAnsi="Calibri" w:cs="Arial"/>
          <w:i/>
          <w:color w:val="000000"/>
        </w:rPr>
        <w:t xml:space="preserve">Overall investment objectives should be set out for the fund that take account of the scheme’s liabilities, the potential impact on local council </w:t>
      </w:r>
      <w:r w:rsidR="00491609" w:rsidRPr="00FC4041">
        <w:rPr>
          <w:rFonts w:ascii="Calibri" w:hAnsi="Calibri" w:cs="Arial"/>
          <w:i/>
          <w:color w:val="000000"/>
        </w:rPr>
        <w:t>taxpayers</w:t>
      </w:r>
      <w:r w:rsidRPr="00FC4041">
        <w:rPr>
          <w:rFonts w:ascii="Calibri" w:hAnsi="Calibri" w:cs="Arial"/>
          <w:i/>
          <w:color w:val="000000"/>
        </w:rPr>
        <w:t>, the strength of the covenant of the participating employers, and the attitude to risk of both the administering authority and the scheme employers, and these should be clearly communicated to advisers and investment managers.</w:t>
      </w:r>
    </w:p>
    <w:p w14:paraId="2D5192A5" w14:textId="1258A5D2"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The Statement of Investment Principles and the Funding Strategy Statement define the Fund’</w:t>
      </w:r>
      <w:r w:rsidR="00037CA4">
        <w:rPr>
          <w:rFonts w:ascii="Calibri" w:hAnsi="Calibri" w:cs="Arial"/>
          <w:sz w:val="22"/>
          <w:szCs w:val="22"/>
        </w:rPr>
        <w:t>s</w:t>
      </w:r>
      <w:r w:rsidRPr="00A953B5">
        <w:rPr>
          <w:rFonts w:ascii="Calibri" w:hAnsi="Calibri" w:cs="Arial"/>
          <w:sz w:val="22"/>
          <w:szCs w:val="22"/>
        </w:rPr>
        <w:t xml:space="preserve"> primary funding objectives.</w:t>
      </w:r>
    </w:p>
    <w:p w14:paraId="2D738A27" w14:textId="52CFDC24"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 xml:space="preserve">Asset-liability modelling is undertaken with the help of external advisers to aid the </w:t>
      </w:r>
      <w:r w:rsidR="00357BFC">
        <w:rPr>
          <w:rFonts w:ascii="Calibri" w:hAnsi="Calibri" w:cs="Arial"/>
          <w:sz w:val="22"/>
          <w:szCs w:val="22"/>
        </w:rPr>
        <w:t xml:space="preserve">understanding of risks and the </w:t>
      </w:r>
      <w:r w:rsidRPr="00A953B5">
        <w:rPr>
          <w:rFonts w:ascii="Calibri" w:hAnsi="Calibri" w:cs="Arial"/>
          <w:sz w:val="22"/>
          <w:szCs w:val="22"/>
        </w:rPr>
        <w:t xml:space="preserve">setting </w:t>
      </w:r>
      <w:r w:rsidR="00357BFC">
        <w:rPr>
          <w:rFonts w:ascii="Calibri" w:hAnsi="Calibri" w:cs="Arial"/>
          <w:sz w:val="22"/>
          <w:szCs w:val="22"/>
        </w:rPr>
        <w:t xml:space="preserve">of investment strategy. </w:t>
      </w:r>
      <w:r w:rsidRPr="00A953B5">
        <w:rPr>
          <w:rFonts w:ascii="Calibri" w:hAnsi="Calibri" w:cs="Arial"/>
          <w:sz w:val="22"/>
          <w:szCs w:val="22"/>
        </w:rPr>
        <w:t xml:space="preserve"> </w:t>
      </w:r>
    </w:p>
    <w:p w14:paraId="28B22FDA" w14:textId="77777777"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 xml:space="preserve">Reviews of investment strategy focus on the split between broad asset classes (equities, </w:t>
      </w:r>
      <w:r w:rsidR="00133ADB">
        <w:rPr>
          <w:rFonts w:ascii="Calibri" w:hAnsi="Calibri" w:cs="Arial"/>
          <w:sz w:val="22"/>
          <w:szCs w:val="22"/>
        </w:rPr>
        <w:t xml:space="preserve">gilts, other debt, other real </w:t>
      </w:r>
      <w:proofErr w:type="gramStart"/>
      <w:r w:rsidR="00133ADB">
        <w:rPr>
          <w:rFonts w:ascii="Calibri" w:hAnsi="Calibri" w:cs="Arial"/>
          <w:sz w:val="22"/>
          <w:szCs w:val="22"/>
        </w:rPr>
        <w:t>assets</w:t>
      </w:r>
      <w:proofErr w:type="gramEnd"/>
      <w:r w:rsidR="00133ADB">
        <w:rPr>
          <w:rFonts w:ascii="Calibri" w:hAnsi="Calibri" w:cs="Arial"/>
          <w:sz w:val="22"/>
          <w:szCs w:val="22"/>
        </w:rPr>
        <w:t xml:space="preserve"> and cash)</w:t>
      </w:r>
      <w:r w:rsidRPr="00A953B5">
        <w:rPr>
          <w:rFonts w:ascii="Calibri" w:hAnsi="Calibri" w:cs="Arial"/>
          <w:sz w:val="22"/>
          <w:szCs w:val="22"/>
        </w:rPr>
        <w:t xml:space="preserve">. </w:t>
      </w:r>
    </w:p>
    <w:p w14:paraId="56E277D0" w14:textId="7E0DB0D8"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Investment Management Agreements set clear benchmarks and risk parameters and include the requirement to comply with the Fund’</w:t>
      </w:r>
      <w:r w:rsidR="00037CA4">
        <w:rPr>
          <w:rFonts w:ascii="Calibri" w:hAnsi="Calibri" w:cs="Arial"/>
          <w:sz w:val="22"/>
          <w:szCs w:val="22"/>
        </w:rPr>
        <w:t>s</w:t>
      </w:r>
      <w:r w:rsidRPr="00A953B5">
        <w:rPr>
          <w:rFonts w:ascii="Calibri" w:hAnsi="Calibri" w:cs="Arial"/>
          <w:sz w:val="22"/>
          <w:szCs w:val="22"/>
        </w:rPr>
        <w:t xml:space="preserve"> Statement of Investment Principles.</w:t>
      </w:r>
    </w:p>
    <w:p w14:paraId="491B5A8D" w14:textId="77777777"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 xml:space="preserve">Appointments of advisers are reviewed regularly. Investment and actuarial advisers are appointed under separate contract. Procurement of advisers is conducted within European Union procurement regulations. </w:t>
      </w:r>
    </w:p>
    <w:p w14:paraId="396DB3F5" w14:textId="77777777"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 xml:space="preserve">The setting </w:t>
      </w:r>
      <w:r w:rsidR="00133ADB">
        <w:rPr>
          <w:rFonts w:ascii="Calibri" w:hAnsi="Calibri" w:cs="Arial"/>
          <w:sz w:val="22"/>
          <w:szCs w:val="22"/>
        </w:rPr>
        <w:t>of the Funding Strategy includes</w:t>
      </w:r>
      <w:r w:rsidRPr="00A953B5">
        <w:rPr>
          <w:rFonts w:ascii="Calibri" w:hAnsi="Calibri" w:cs="Arial"/>
          <w:sz w:val="22"/>
          <w:szCs w:val="22"/>
        </w:rPr>
        <w:t xml:space="preserve"> specific consideration </w:t>
      </w:r>
      <w:r w:rsidRPr="00D87001">
        <w:rPr>
          <w:rFonts w:ascii="Calibri" w:hAnsi="Calibri" w:cs="Arial"/>
          <w:sz w:val="22"/>
          <w:szCs w:val="22"/>
        </w:rPr>
        <w:t xml:space="preserve">of the </w:t>
      </w:r>
      <w:r w:rsidR="00147FD6" w:rsidRPr="00D87001">
        <w:rPr>
          <w:rFonts w:ascii="Calibri" w:hAnsi="Calibri" w:cs="Arial"/>
          <w:sz w:val="22"/>
          <w:szCs w:val="22"/>
        </w:rPr>
        <w:t>desire</w:t>
      </w:r>
      <w:r w:rsidRPr="00D87001">
        <w:rPr>
          <w:rFonts w:ascii="Calibri" w:hAnsi="Calibri" w:cs="Arial"/>
          <w:sz w:val="22"/>
          <w:szCs w:val="22"/>
        </w:rPr>
        <w:t xml:space="preserve"> to</w:t>
      </w:r>
      <w:r w:rsidRPr="00A953B5">
        <w:rPr>
          <w:rFonts w:ascii="Calibri" w:hAnsi="Calibri" w:cs="Arial"/>
          <w:sz w:val="22"/>
          <w:szCs w:val="22"/>
        </w:rPr>
        <w:t xml:space="preserve"> maintain stability in employer contribution rates. </w:t>
      </w:r>
    </w:p>
    <w:p w14:paraId="7C0239D0" w14:textId="77777777" w:rsidR="00A13A12" w:rsidRDefault="00A13A12" w:rsidP="00133ADB">
      <w:pPr>
        <w:spacing w:before="0" w:after="0"/>
        <w:rPr>
          <w:rFonts w:ascii="Calibri" w:hAnsi="Calibri" w:cs="Arial"/>
          <w:b/>
        </w:rPr>
      </w:pPr>
    </w:p>
    <w:p w14:paraId="409D8496" w14:textId="77777777" w:rsidR="002039BB" w:rsidRPr="00FC4041" w:rsidRDefault="002039BB" w:rsidP="00133ADB">
      <w:pPr>
        <w:spacing w:before="0" w:after="0"/>
        <w:rPr>
          <w:rFonts w:ascii="Calibri" w:hAnsi="Calibri" w:cs="Arial"/>
          <w:b/>
        </w:rPr>
      </w:pPr>
      <w:r w:rsidRPr="00FC4041">
        <w:rPr>
          <w:rFonts w:ascii="Calibri" w:hAnsi="Calibri" w:cs="Arial"/>
          <w:b/>
        </w:rPr>
        <w:t>Principle 3 – Risk and liabilities</w:t>
      </w:r>
    </w:p>
    <w:p w14:paraId="75F44C60" w14:textId="66F79BE1" w:rsidR="002039BB" w:rsidRPr="00FC4041" w:rsidRDefault="002039BB" w:rsidP="00491609">
      <w:pPr>
        <w:autoSpaceDE w:val="0"/>
        <w:autoSpaceDN w:val="0"/>
        <w:adjustRightInd w:val="0"/>
        <w:jc w:val="both"/>
        <w:rPr>
          <w:rFonts w:ascii="Calibri" w:hAnsi="Calibri" w:cs="Arial"/>
          <w:i/>
          <w:color w:val="000000"/>
        </w:rPr>
      </w:pPr>
      <w:r w:rsidRPr="00FC4041">
        <w:rPr>
          <w:rFonts w:ascii="Calibri" w:hAnsi="Calibri" w:cs="Arial"/>
          <w:i/>
          <w:color w:val="000000"/>
        </w:rPr>
        <w:t>In setting and reviewing their investment strategy, administering authorities should take account of the form and structure of liabilities.</w:t>
      </w:r>
      <w:r w:rsidR="00133ADB">
        <w:rPr>
          <w:rFonts w:ascii="Calibri" w:hAnsi="Calibri" w:cs="Arial"/>
          <w:i/>
          <w:color w:val="000000"/>
        </w:rPr>
        <w:t xml:space="preserve">  </w:t>
      </w:r>
      <w:r w:rsidRPr="00FC4041">
        <w:rPr>
          <w:rFonts w:ascii="Calibri" w:hAnsi="Calibri" w:cs="Arial"/>
          <w:i/>
          <w:color w:val="000000"/>
        </w:rPr>
        <w:t xml:space="preserve">These include the implications for council </w:t>
      </w:r>
      <w:r w:rsidR="00491609" w:rsidRPr="00FC4041">
        <w:rPr>
          <w:rFonts w:ascii="Calibri" w:hAnsi="Calibri" w:cs="Arial"/>
          <w:i/>
          <w:color w:val="000000"/>
        </w:rPr>
        <w:t>taxpayers</w:t>
      </w:r>
      <w:r w:rsidRPr="00FC4041">
        <w:rPr>
          <w:rFonts w:ascii="Calibri" w:hAnsi="Calibri" w:cs="Arial"/>
          <w:i/>
          <w:color w:val="000000"/>
        </w:rPr>
        <w:t>; the strength of the covenant of participating authorities; the risk of their default, and longevity risk.</w:t>
      </w:r>
    </w:p>
    <w:p w14:paraId="3822EF91" w14:textId="69C51125"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The Fund take</w:t>
      </w:r>
      <w:r w:rsidR="00A13A12">
        <w:rPr>
          <w:rFonts w:ascii="Calibri" w:hAnsi="Calibri" w:cs="Arial"/>
          <w:sz w:val="22"/>
          <w:szCs w:val="22"/>
        </w:rPr>
        <w:t>s</w:t>
      </w:r>
      <w:r w:rsidRPr="00A953B5">
        <w:rPr>
          <w:rFonts w:ascii="Calibri" w:hAnsi="Calibri" w:cs="Arial"/>
          <w:sz w:val="22"/>
          <w:szCs w:val="22"/>
        </w:rPr>
        <w:t xml:space="preserve"> advice from the </w:t>
      </w:r>
      <w:r w:rsidR="008E069E">
        <w:rPr>
          <w:rFonts w:ascii="Calibri" w:hAnsi="Calibri" w:cs="Arial"/>
          <w:sz w:val="22"/>
          <w:szCs w:val="22"/>
        </w:rPr>
        <w:t>Fund</w:t>
      </w:r>
      <w:r w:rsidRPr="00A953B5">
        <w:rPr>
          <w:rFonts w:ascii="Calibri" w:hAnsi="Calibri" w:cs="Arial"/>
          <w:sz w:val="22"/>
          <w:szCs w:val="22"/>
        </w:rPr>
        <w:t xml:space="preserve">’s actuary regarding the nature of its liabilities. </w:t>
      </w:r>
      <w:r w:rsidR="00133ADB">
        <w:rPr>
          <w:rFonts w:ascii="Calibri" w:hAnsi="Calibri" w:cs="Arial"/>
          <w:sz w:val="22"/>
          <w:szCs w:val="22"/>
        </w:rPr>
        <w:t xml:space="preserve"> </w:t>
      </w:r>
      <w:r w:rsidRPr="00A953B5">
        <w:rPr>
          <w:rFonts w:ascii="Calibri" w:hAnsi="Calibri" w:cs="Arial"/>
          <w:sz w:val="22"/>
          <w:szCs w:val="22"/>
        </w:rPr>
        <w:t xml:space="preserve">Asset-liability modelling is undertaken periodically to aid the setting of investment strategy, and these exercises specifically take account of covenant strength and longevity risk. </w:t>
      </w:r>
    </w:p>
    <w:p w14:paraId="489CF836" w14:textId="2DB416C3"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 xml:space="preserve">The Funding objective for the Fund are expressed in relation to the solvency and employer contribution rates. The Fund </w:t>
      </w:r>
      <w:r w:rsidR="00A13A12">
        <w:rPr>
          <w:rFonts w:ascii="Calibri" w:hAnsi="Calibri" w:cs="Arial"/>
          <w:sz w:val="22"/>
          <w:szCs w:val="22"/>
        </w:rPr>
        <w:t xml:space="preserve">monitors </w:t>
      </w:r>
      <w:r w:rsidRPr="00A953B5">
        <w:rPr>
          <w:rFonts w:ascii="Calibri" w:hAnsi="Calibri" w:cs="Arial"/>
          <w:sz w:val="22"/>
          <w:szCs w:val="22"/>
        </w:rPr>
        <w:t>the covenants of participating employers</w:t>
      </w:r>
      <w:r w:rsidR="00A13A12">
        <w:rPr>
          <w:rFonts w:ascii="Calibri" w:hAnsi="Calibri" w:cs="Arial"/>
          <w:sz w:val="22"/>
          <w:szCs w:val="22"/>
        </w:rPr>
        <w:t xml:space="preserve"> on an ongoing basis in the context of overall materiality. </w:t>
      </w:r>
      <w:r w:rsidRPr="00A953B5">
        <w:rPr>
          <w:rFonts w:ascii="Calibri" w:hAnsi="Calibri" w:cs="Arial"/>
          <w:sz w:val="22"/>
          <w:szCs w:val="22"/>
        </w:rPr>
        <w:t xml:space="preserve"> </w:t>
      </w:r>
    </w:p>
    <w:p w14:paraId="48EAFD05" w14:textId="19712866"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 xml:space="preserve">The </w:t>
      </w:r>
      <w:r w:rsidR="00A13A12">
        <w:rPr>
          <w:rFonts w:ascii="Calibri" w:hAnsi="Calibri" w:cs="Arial"/>
          <w:sz w:val="22"/>
          <w:szCs w:val="22"/>
        </w:rPr>
        <w:t xml:space="preserve">Chief Finance Officer </w:t>
      </w:r>
      <w:r w:rsidRPr="00A953B5">
        <w:rPr>
          <w:rFonts w:ascii="Calibri" w:hAnsi="Calibri" w:cs="Arial"/>
          <w:sz w:val="22"/>
          <w:szCs w:val="22"/>
        </w:rPr>
        <w:t xml:space="preserve">is responsible for ensuring </w:t>
      </w:r>
      <w:r w:rsidR="00994025">
        <w:rPr>
          <w:rFonts w:ascii="Calibri" w:hAnsi="Calibri" w:cs="Arial"/>
          <w:sz w:val="22"/>
          <w:szCs w:val="22"/>
        </w:rPr>
        <w:t xml:space="preserve">the </w:t>
      </w:r>
      <w:r w:rsidRPr="00A953B5">
        <w:rPr>
          <w:rFonts w:ascii="Calibri" w:hAnsi="Calibri" w:cs="Arial"/>
          <w:sz w:val="22"/>
          <w:szCs w:val="22"/>
        </w:rPr>
        <w:t xml:space="preserve">appropriate controls of the Fund. </w:t>
      </w:r>
      <w:r w:rsidR="00994025">
        <w:rPr>
          <w:rFonts w:ascii="Calibri" w:hAnsi="Calibri" w:cs="Arial"/>
          <w:sz w:val="22"/>
          <w:szCs w:val="22"/>
        </w:rPr>
        <w:t xml:space="preserve"> </w:t>
      </w:r>
      <w:r w:rsidRPr="00A953B5">
        <w:rPr>
          <w:rFonts w:ascii="Calibri" w:hAnsi="Calibri" w:cs="Arial"/>
          <w:sz w:val="22"/>
          <w:szCs w:val="22"/>
        </w:rPr>
        <w:t>Controls are subject to internal audit</w:t>
      </w:r>
      <w:r w:rsidR="00147FD6">
        <w:rPr>
          <w:rFonts w:ascii="Calibri" w:hAnsi="Calibri" w:cs="Arial"/>
          <w:sz w:val="22"/>
          <w:szCs w:val="22"/>
        </w:rPr>
        <w:t>,</w:t>
      </w:r>
      <w:r w:rsidRPr="00A953B5">
        <w:rPr>
          <w:rFonts w:ascii="Calibri" w:hAnsi="Calibri" w:cs="Arial"/>
          <w:sz w:val="22"/>
          <w:szCs w:val="22"/>
        </w:rPr>
        <w:t xml:space="preserve"> and results of audits are submitted to the Pensions Committee.  </w:t>
      </w:r>
    </w:p>
    <w:p w14:paraId="79F974A4" w14:textId="7FE317BD"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A953B5">
        <w:rPr>
          <w:rFonts w:ascii="Calibri" w:hAnsi="Calibri" w:cs="Arial"/>
          <w:sz w:val="22"/>
          <w:szCs w:val="22"/>
        </w:rPr>
        <w:t>The Fund maintain</w:t>
      </w:r>
      <w:r w:rsidR="007B1871">
        <w:rPr>
          <w:rFonts w:ascii="Calibri" w:hAnsi="Calibri" w:cs="Arial"/>
          <w:sz w:val="22"/>
          <w:szCs w:val="22"/>
        </w:rPr>
        <w:t>s</w:t>
      </w:r>
      <w:r w:rsidRPr="00A953B5">
        <w:rPr>
          <w:rFonts w:ascii="Calibri" w:hAnsi="Calibri" w:cs="Arial"/>
          <w:sz w:val="22"/>
          <w:szCs w:val="22"/>
        </w:rPr>
        <w:t xml:space="preserve"> a </w:t>
      </w:r>
      <w:r w:rsidR="007B1871">
        <w:rPr>
          <w:rFonts w:ascii="Calibri" w:hAnsi="Calibri" w:cs="Arial"/>
          <w:sz w:val="22"/>
          <w:szCs w:val="22"/>
        </w:rPr>
        <w:t>R</w:t>
      </w:r>
      <w:r w:rsidRPr="00A953B5">
        <w:rPr>
          <w:rFonts w:ascii="Calibri" w:hAnsi="Calibri" w:cs="Arial"/>
          <w:sz w:val="22"/>
          <w:szCs w:val="22"/>
        </w:rPr>
        <w:t xml:space="preserve">isk </w:t>
      </w:r>
      <w:r w:rsidR="007B1871">
        <w:rPr>
          <w:rFonts w:ascii="Calibri" w:hAnsi="Calibri" w:cs="Arial"/>
          <w:sz w:val="22"/>
          <w:szCs w:val="22"/>
        </w:rPr>
        <w:t>R</w:t>
      </w:r>
      <w:r w:rsidRPr="00A953B5">
        <w:rPr>
          <w:rFonts w:ascii="Calibri" w:hAnsi="Calibri" w:cs="Arial"/>
          <w:sz w:val="22"/>
          <w:szCs w:val="22"/>
        </w:rPr>
        <w:t xml:space="preserve">egister, which is </w:t>
      </w:r>
      <w:r w:rsidR="007B1871">
        <w:rPr>
          <w:rFonts w:ascii="Calibri" w:hAnsi="Calibri" w:cs="Arial"/>
          <w:sz w:val="22"/>
          <w:szCs w:val="22"/>
        </w:rPr>
        <w:t xml:space="preserve">formally reviewed twice per year with input from Pension Board members.  </w:t>
      </w:r>
      <w:r w:rsidRPr="00A953B5">
        <w:rPr>
          <w:rFonts w:ascii="Calibri" w:hAnsi="Calibri" w:cs="Arial"/>
          <w:sz w:val="22"/>
          <w:szCs w:val="22"/>
        </w:rPr>
        <w:t xml:space="preserve">  </w:t>
      </w:r>
    </w:p>
    <w:p w14:paraId="25279EC2" w14:textId="77777777" w:rsidR="00A13A12" w:rsidRDefault="00A13A12" w:rsidP="00133ADB">
      <w:pPr>
        <w:tabs>
          <w:tab w:val="left" w:pos="0"/>
        </w:tabs>
        <w:spacing w:before="0" w:after="0"/>
        <w:rPr>
          <w:rFonts w:ascii="Calibri" w:hAnsi="Calibri" w:cs="Arial"/>
          <w:b/>
        </w:rPr>
      </w:pPr>
    </w:p>
    <w:p w14:paraId="6A883814" w14:textId="77777777" w:rsidR="00E54BE8" w:rsidRDefault="00E54BE8">
      <w:pPr>
        <w:rPr>
          <w:rFonts w:ascii="Calibri" w:hAnsi="Calibri" w:cs="Arial"/>
          <w:b/>
        </w:rPr>
      </w:pPr>
      <w:r>
        <w:rPr>
          <w:rFonts w:ascii="Calibri" w:hAnsi="Calibri" w:cs="Arial"/>
          <w:b/>
        </w:rPr>
        <w:br w:type="page"/>
      </w:r>
    </w:p>
    <w:p w14:paraId="61061CA4" w14:textId="77777777" w:rsidR="00E54BE8" w:rsidRDefault="00E54BE8" w:rsidP="00133ADB">
      <w:pPr>
        <w:tabs>
          <w:tab w:val="left" w:pos="0"/>
        </w:tabs>
        <w:spacing w:before="0" w:after="0"/>
        <w:rPr>
          <w:rFonts w:ascii="Calibri" w:hAnsi="Calibri" w:cs="Arial"/>
          <w:b/>
        </w:rPr>
      </w:pPr>
    </w:p>
    <w:p w14:paraId="71FCB0E2" w14:textId="6DD6F52A" w:rsidR="002039BB" w:rsidRPr="00FC4041" w:rsidRDefault="002039BB" w:rsidP="00133ADB">
      <w:pPr>
        <w:tabs>
          <w:tab w:val="left" w:pos="0"/>
        </w:tabs>
        <w:spacing w:before="0" w:after="0"/>
        <w:rPr>
          <w:rFonts w:ascii="Calibri" w:hAnsi="Calibri" w:cs="Arial"/>
          <w:b/>
        </w:rPr>
      </w:pPr>
      <w:r w:rsidRPr="00FC4041">
        <w:rPr>
          <w:rFonts w:ascii="Calibri" w:hAnsi="Calibri" w:cs="Arial"/>
          <w:b/>
        </w:rPr>
        <w:t>Principle 4 – Performance assessment</w:t>
      </w:r>
    </w:p>
    <w:p w14:paraId="061AD14E" w14:textId="77777777" w:rsidR="002039BB" w:rsidRPr="00FC4041" w:rsidRDefault="002039BB" w:rsidP="002039BB">
      <w:pPr>
        <w:autoSpaceDE w:val="0"/>
        <w:autoSpaceDN w:val="0"/>
        <w:adjustRightInd w:val="0"/>
        <w:rPr>
          <w:rFonts w:ascii="Calibri" w:hAnsi="Calibri" w:cs="Arial"/>
          <w:i/>
          <w:color w:val="000000"/>
        </w:rPr>
      </w:pPr>
      <w:r w:rsidRPr="00FC4041">
        <w:rPr>
          <w:rFonts w:ascii="Calibri" w:hAnsi="Calibri" w:cs="Arial"/>
          <w:i/>
          <w:color w:val="000000"/>
        </w:rPr>
        <w:t>Arrangements should be in place for the formal measurement of the performance of the investments, investment managers and advisers.  Administering authorities should also periodically make a formal policy assessment of their own effectiveness as a decision-making body and report on this to scheme members.</w:t>
      </w:r>
    </w:p>
    <w:p w14:paraId="4DDC52E9" w14:textId="5545ED60"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The Fund’</w:t>
      </w:r>
      <w:r w:rsidR="007B1871">
        <w:rPr>
          <w:rFonts w:ascii="Calibri" w:hAnsi="Calibri" w:cs="Arial"/>
          <w:sz w:val="22"/>
          <w:szCs w:val="22"/>
        </w:rPr>
        <w:t>s</w:t>
      </w:r>
      <w:r w:rsidRPr="00FC4041">
        <w:rPr>
          <w:rFonts w:ascii="Calibri" w:hAnsi="Calibri" w:cs="Arial"/>
          <w:sz w:val="22"/>
          <w:szCs w:val="22"/>
        </w:rPr>
        <w:t xml:space="preserve"> performance and risk analysis is produced by an independent external provider. </w:t>
      </w:r>
    </w:p>
    <w:p w14:paraId="1865899E" w14:textId="1A269764" w:rsidR="002039BB" w:rsidRPr="00D87001"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D87001">
        <w:rPr>
          <w:rFonts w:ascii="Calibri" w:hAnsi="Calibri" w:cs="Arial"/>
          <w:sz w:val="22"/>
          <w:szCs w:val="22"/>
        </w:rPr>
        <w:t xml:space="preserve">The internal investment team </w:t>
      </w:r>
      <w:r w:rsidR="00D40E01" w:rsidRPr="00D87001">
        <w:rPr>
          <w:rFonts w:ascii="Calibri" w:hAnsi="Calibri" w:cs="Arial"/>
          <w:sz w:val="22"/>
          <w:szCs w:val="22"/>
        </w:rPr>
        <w:t xml:space="preserve">monitors </w:t>
      </w:r>
      <w:r w:rsidRPr="00D87001">
        <w:rPr>
          <w:rFonts w:ascii="Calibri" w:hAnsi="Calibri" w:cs="Arial"/>
          <w:sz w:val="22"/>
          <w:szCs w:val="22"/>
        </w:rPr>
        <w:t>the external investment managers’ performance and risk on a regular basis</w:t>
      </w:r>
      <w:r w:rsidR="00D40E01" w:rsidRPr="00D87001">
        <w:rPr>
          <w:rFonts w:ascii="Calibri" w:hAnsi="Calibri" w:cs="Arial"/>
          <w:sz w:val="22"/>
          <w:szCs w:val="22"/>
        </w:rPr>
        <w:t xml:space="preserve"> and reports this to the Joint Investment </w:t>
      </w:r>
      <w:r w:rsidR="00E579FD">
        <w:rPr>
          <w:rFonts w:ascii="Calibri" w:hAnsi="Calibri" w:cs="Arial"/>
          <w:sz w:val="22"/>
          <w:szCs w:val="22"/>
        </w:rPr>
        <w:t>Forum</w:t>
      </w:r>
      <w:r w:rsidRPr="00D87001">
        <w:rPr>
          <w:rFonts w:ascii="Calibri" w:hAnsi="Calibri" w:cs="Arial"/>
          <w:sz w:val="22"/>
          <w:szCs w:val="22"/>
        </w:rPr>
        <w:t>.</w:t>
      </w:r>
      <w:r w:rsidRPr="00FC4041">
        <w:rPr>
          <w:rFonts w:ascii="Calibri" w:hAnsi="Calibri" w:cs="Arial"/>
          <w:sz w:val="22"/>
          <w:szCs w:val="22"/>
        </w:rPr>
        <w:t xml:space="preserve">  The </w:t>
      </w:r>
      <w:r w:rsidR="00994025">
        <w:rPr>
          <w:rFonts w:ascii="Calibri" w:hAnsi="Calibri" w:cs="Arial"/>
          <w:sz w:val="22"/>
          <w:szCs w:val="22"/>
        </w:rPr>
        <w:t xml:space="preserve">Joint </w:t>
      </w:r>
      <w:r w:rsidRPr="00FC4041">
        <w:rPr>
          <w:rFonts w:ascii="Calibri" w:hAnsi="Calibri" w:cs="Arial"/>
          <w:sz w:val="22"/>
          <w:szCs w:val="22"/>
        </w:rPr>
        <w:t xml:space="preserve">Investment </w:t>
      </w:r>
      <w:r w:rsidR="00E579FD">
        <w:rPr>
          <w:rFonts w:ascii="Calibri" w:hAnsi="Calibri" w:cs="Arial"/>
          <w:sz w:val="22"/>
          <w:szCs w:val="22"/>
        </w:rPr>
        <w:t xml:space="preserve">Forum </w:t>
      </w:r>
      <w:r w:rsidRPr="00FC4041">
        <w:rPr>
          <w:rFonts w:ascii="Calibri" w:hAnsi="Calibri" w:cs="Arial"/>
          <w:sz w:val="22"/>
          <w:szCs w:val="22"/>
        </w:rPr>
        <w:t xml:space="preserve">assesses the performance and risk </w:t>
      </w:r>
      <w:r w:rsidRPr="00D87001">
        <w:rPr>
          <w:rFonts w:ascii="Calibri" w:hAnsi="Calibri" w:cs="Arial"/>
          <w:sz w:val="22"/>
          <w:szCs w:val="22"/>
        </w:rPr>
        <w:t>of</w:t>
      </w:r>
      <w:r w:rsidR="00D40E01" w:rsidRPr="00D87001">
        <w:rPr>
          <w:rFonts w:ascii="Calibri" w:hAnsi="Calibri" w:cs="Arial"/>
          <w:sz w:val="22"/>
          <w:szCs w:val="22"/>
        </w:rPr>
        <w:t xml:space="preserve"> both</w:t>
      </w:r>
      <w:r w:rsidRPr="00D87001">
        <w:rPr>
          <w:rFonts w:ascii="Calibri" w:hAnsi="Calibri" w:cs="Arial"/>
          <w:sz w:val="22"/>
          <w:szCs w:val="22"/>
        </w:rPr>
        <w:t xml:space="preserve"> internal and external investment managers on a regular basis</w:t>
      </w:r>
      <w:r w:rsidR="00D40E01" w:rsidRPr="00D87001">
        <w:rPr>
          <w:rFonts w:ascii="Calibri" w:hAnsi="Calibri" w:cs="Arial"/>
          <w:sz w:val="22"/>
          <w:szCs w:val="22"/>
        </w:rPr>
        <w:t xml:space="preserve"> (typically quarterly)</w:t>
      </w:r>
      <w:r w:rsidRPr="00D87001">
        <w:rPr>
          <w:rFonts w:ascii="Calibri" w:hAnsi="Calibri" w:cs="Arial"/>
          <w:sz w:val="22"/>
          <w:szCs w:val="22"/>
        </w:rPr>
        <w:t xml:space="preserve">.  </w:t>
      </w:r>
    </w:p>
    <w:p w14:paraId="0A5D2521" w14:textId="4D6FA2AF"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The Fund</w:t>
      </w:r>
      <w:r w:rsidR="00A13A12">
        <w:rPr>
          <w:rFonts w:ascii="Calibri" w:hAnsi="Calibri" w:cs="Arial"/>
          <w:sz w:val="22"/>
          <w:szCs w:val="22"/>
        </w:rPr>
        <w:t>’s</w:t>
      </w:r>
      <w:r w:rsidRPr="00FC4041">
        <w:rPr>
          <w:rFonts w:ascii="Calibri" w:hAnsi="Calibri" w:cs="Arial"/>
          <w:sz w:val="22"/>
          <w:szCs w:val="22"/>
        </w:rPr>
        <w:t xml:space="preserve"> contracts with its advisers are regularly market tested.  </w:t>
      </w:r>
    </w:p>
    <w:p w14:paraId="32661557" w14:textId="609673C4"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 xml:space="preserve">The </w:t>
      </w:r>
      <w:r w:rsidR="00994025">
        <w:rPr>
          <w:rFonts w:ascii="Calibri" w:hAnsi="Calibri" w:cs="Arial"/>
          <w:sz w:val="22"/>
          <w:szCs w:val="22"/>
        </w:rPr>
        <w:t xml:space="preserve">Joint </w:t>
      </w:r>
      <w:r w:rsidRPr="00FC4041">
        <w:rPr>
          <w:rFonts w:ascii="Calibri" w:hAnsi="Calibri" w:cs="Arial"/>
          <w:sz w:val="22"/>
          <w:szCs w:val="22"/>
        </w:rPr>
        <w:t xml:space="preserve">Investment </w:t>
      </w:r>
      <w:r w:rsidR="00E579FD">
        <w:rPr>
          <w:rFonts w:ascii="Calibri" w:hAnsi="Calibri" w:cs="Arial"/>
          <w:sz w:val="22"/>
          <w:szCs w:val="22"/>
        </w:rPr>
        <w:t xml:space="preserve">Forum </w:t>
      </w:r>
      <w:r w:rsidRPr="00FC4041">
        <w:rPr>
          <w:rFonts w:ascii="Calibri" w:hAnsi="Calibri" w:cs="Arial"/>
          <w:sz w:val="22"/>
          <w:szCs w:val="22"/>
        </w:rPr>
        <w:t>assesses its own performance on a regular basis and reports to Committee on its activities, typically annually.</w:t>
      </w:r>
    </w:p>
    <w:p w14:paraId="114D86D8" w14:textId="026661F8" w:rsidR="002039BB" w:rsidRPr="00FC4041"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 xml:space="preserve">Training and attendance of members of the Pensions Committee and the Pensions Board are monitored and reported on a regular basis.  </w:t>
      </w:r>
    </w:p>
    <w:p w14:paraId="663AD6F2" w14:textId="77777777" w:rsidR="002039BB" w:rsidRPr="00FC4041" w:rsidRDefault="002039BB" w:rsidP="00A953B5">
      <w:pPr>
        <w:pStyle w:val="Paragraph"/>
        <w:numPr>
          <w:ilvl w:val="0"/>
          <w:numId w:val="0"/>
        </w:numPr>
        <w:autoSpaceDE w:val="0"/>
        <w:autoSpaceDN w:val="0"/>
        <w:adjustRightInd w:val="0"/>
        <w:spacing w:after="0"/>
        <w:ind w:left="720" w:hanging="720"/>
        <w:rPr>
          <w:rFonts w:ascii="Calibri" w:hAnsi="Calibri" w:cs="Arial"/>
          <w:sz w:val="22"/>
          <w:szCs w:val="22"/>
        </w:rPr>
      </w:pPr>
    </w:p>
    <w:p w14:paraId="7A54F0E1" w14:textId="77777777" w:rsidR="002039BB" w:rsidRPr="00FC4041" w:rsidRDefault="002039BB" w:rsidP="00133ADB">
      <w:pPr>
        <w:tabs>
          <w:tab w:val="left" w:pos="0"/>
        </w:tabs>
        <w:spacing w:before="0" w:after="0"/>
        <w:rPr>
          <w:rFonts w:ascii="Calibri" w:hAnsi="Calibri" w:cs="Arial"/>
          <w:b/>
        </w:rPr>
      </w:pPr>
      <w:r w:rsidRPr="00FC4041">
        <w:rPr>
          <w:rFonts w:ascii="Calibri" w:hAnsi="Calibri" w:cs="Arial"/>
          <w:b/>
        </w:rPr>
        <w:t>Principle 5 – Responsible ownership</w:t>
      </w:r>
    </w:p>
    <w:p w14:paraId="27A9E851" w14:textId="77777777" w:rsidR="002039BB" w:rsidRPr="00FC4041" w:rsidRDefault="002039BB" w:rsidP="002039BB">
      <w:pPr>
        <w:autoSpaceDE w:val="0"/>
        <w:autoSpaceDN w:val="0"/>
        <w:adjustRightInd w:val="0"/>
        <w:rPr>
          <w:rFonts w:ascii="Calibri" w:hAnsi="Calibri" w:cs="Arial"/>
          <w:i/>
          <w:color w:val="000000"/>
        </w:rPr>
      </w:pPr>
      <w:r w:rsidRPr="00FC4041">
        <w:rPr>
          <w:rFonts w:ascii="Calibri" w:hAnsi="Calibri" w:cs="Arial"/>
          <w:i/>
          <w:color w:val="000000"/>
        </w:rPr>
        <w:t>Administering authorities should adopt, or ensure their investment managers adopt, the Institutional Shareholders’ Committee Statement of Principles on the responsibilities of shareholders and agents.</w:t>
      </w:r>
    </w:p>
    <w:p w14:paraId="3C423994" w14:textId="77777777" w:rsidR="002039BB" w:rsidRPr="00FC4041" w:rsidRDefault="002039BB" w:rsidP="002039BB">
      <w:pPr>
        <w:autoSpaceDE w:val="0"/>
        <w:autoSpaceDN w:val="0"/>
        <w:adjustRightInd w:val="0"/>
        <w:rPr>
          <w:rFonts w:ascii="Calibri" w:hAnsi="Calibri" w:cs="Arial"/>
          <w:i/>
          <w:color w:val="000000"/>
        </w:rPr>
      </w:pPr>
      <w:r w:rsidRPr="00FC4041">
        <w:rPr>
          <w:rFonts w:ascii="Calibri" w:hAnsi="Calibri" w:cs="Arial"/>
          <w:i/>
          <w:color w:val="000000"/>
        </w:rPr>
        <w:t>A statement of the authority’s policy on responsible ownership should be included in the Statement of Investment Principles.</w:t>
      </w:r>
    </w:p>
    <w:p w14:paraId="53A7A78D" w14:textId="77777777" w:rsidR="002039BB" w:rsidRPr="00FC4041" w:rsidRDefault="002039BB" w:rsidP="002039BB">
      <w:pPr>
        <w:autoSpaceDE w:val="0"/>
        <w:autoSpaceDN w:val="0"/>
        <w:adjustRightInd w:val="0"/>
        <w:rPr>
          <w:rFonts w:ascii="Calibri" w:hAnsi="Calibri" w:cs="Arial"/>
          <w:i/>
          <w:color w:val="000000"/>
        </w:rPr>
      </w:pPr>
      <w:r w:rsidRPr="00FC4041">
        <w:rPr>
          <w:rFonts w:ascii="Calibri" w:hAnsi="Calibri" w:cs="Arial"/>
          <w:i/>
          <w:color w:val="000000"/>
        </w:rPr>
        <w:t>Administering authorities should report periodically to members on the discharge of such responsibilities.</w:t>
      </w:r>
    </w:p>
    <w:p w14:paraId="0E20D64D" w14:textId="6B850017" w:rsidR="00994025" w:rsidRPr="008E069E" w:rsidRDefault="002039BB" w:rsidP="008E069E">
      <w:pPr>
        <w:pStyle w:val="Paragraph"/>
        <w:numPr>
          <w:ilvl w:val="0"/>
          <w:numId w:val="12"/>
        </w:numPr>
        <w:autoSpaceDE w:val="0"/>
        <w:autoSpaceDN w:val="0"/>
        <w:adjustRightInd w:val="0"/>
        <w:spacing w:after="200"/>
        <w:ind w:left="714" w:hanging="357"/>
        <w:rPr>
          <w:rFonts w:ascii="Calibri" w:hAnsi="Calibri" w:cs="Arial"/>
          <w:sz w:val="22"/>
          <w:szCs w:val="22"/>
        </w:rPr>
      </w:pPr>
      <w:r w:rsidRPr="008E069E">
        <w:rPr>
          <w:rFonts w:ascii="Calibri" w:hAnsi="Calibri" w:cs="Arial"/>
          <w:sz w:val="22"/>
          <w:szCs w:val="22"/>
        </w:rPr>
        <w:t xml:space="preserve">The </w:t>
      </w:r>
      <w:r w:rsidR="00994025" w:rsidRPr="008E069E">
        <w:rPr>
          <w:rFonts w:ascii="Calibri" w:hAnsi="Calibri" w:cs="Arial"/>
          <w:sz w:val="22"/>
          <w:szCs w:val="22"/>
        </w:rPr>
        <w:t>Fund’</w:t>
      </w:r>
      <w:r w:rsidR="00210A64" w:rsidRPr="008E069E">
        <w:rPr>
          <w:rFonts w:ascii="Calibri" w:hAnsi="Calibri" w:cs="Arial"/>
          <w:sz w:val="22"/>
          <w:szCs w:val="22"/>
        </w:rPr>
        <w:t>s</w:t>
      </w:r>
      <w:r w:rsidR="00994025" w:rsidRPr="008E069E">
        <w:rPr>
          <w:rFonts w:ascii="Calibri" w:hAnsi="Calibri" w:cs="Arial"/>
          <w:sz w:val="22"/>
          <w:szCs w:val="22"/>
        </w:rPr>
        <w:t xml:space="preserve"> approach to responsible investment is described in the Statement of Investment Principles</w:t>
      </w:r>
      <w:r w:rsidR="007B1871" w:rsidRPr="008E069E">
        <w:rPr>
          <w:rFonts w:ascii="Calibri" w:hAnsi="Calibri" w:cs="Arial"/>
          <w:sz w:val="22"/>
          <w:szCs w:val="22"/>
        </w:rPr>
        <w:t xml:space="preserve"> </w:t>
      </w:r>
      <w:r w:rsidR="005A7D4C" w:rsidRPr="008E069E">
        <w:rPr>
          <w:rFonts w:ascii="Calibri" w:hAnsi="Calibri" w:cs="Arial"/>
          <w:sz w:val="22"/>
          <w:szCs w:val="22"/>
        </w:rPr>
        <w:t xml:space="preserve">and in the Statement of Responsible Investment Principles </w:t>
      </w:r>
      <w:r w:rsidR="007B1871" w:rsidRPr="008E069E">
        <w:rPr>
          <w:rFonts w:ascii="Calibri" w:hAnsi="Calibri" w:cs="Arial"/>
          <w:sz w:val="22"/>
          <w:szCs w:val="22"/>
        </w:rPr>
        <w:t xml:space="preserve">which </w:t>
      </w:r>
      <w:r w:rsidR="005A7D4C" w:rsidRPr="008E069E">
        <w:rPr>
          <w:rFonts w:ascii="Calibri" w:hAnsi="Calibri" w:cs="Arial"/>
          <w:sz w:val="22"/>
          <w:szCs w:val="22"/>
        </w:rPr>
        <w:t>are</w:t>
      </w:r>
      <w:r w:rsidR="007B1871" w:rsidRPr="008E069E">
        <w:rPr>
          <w:rFonts w:ascii="Calibri" w:hAnsi="Calibri" w:cs="Arial"/>
          <w:sz w:val="22"/>
          <w:szCs w:val="22"/>
        </w:rPr>
        <w:t xml:space="preserve"> available o</w:t>
      </w:r>
      <w:r w:rsidR="00953C6B" w:rsidRPr="008E069E">
        <w:rPr>
          <w:rFonts w:ascii="Calibri" w:hAnsi="Calibri" w:cs="Arial"/>
          <w:sz w:val="22"/>
          <w:szCs w:val="22"/>
        </w:rPr>
        <w:t>n</w:t>
      </w:r>
      <w:r w:rsidR="00994025" w:rsidRPr="008E069E">
        <w:rPr>
          <w:rFonts w:ascii="Calibri" w:hAnsi="Calibri" w:cs="Arial"/>
          <w:sz w:val="22"/>
          <w:szCs w:val="22"/>
        </w:rPr>
        <w:t xml:space="preserve"> the Fund website</w:t>
      </w:r>
      <w:r w:rsidR="008E069E" w:rsidRPr="008E069E">
        <w:rPr>
          <w:rFonts w:ascii="Calibri" w:hAnsi="Calibri" w:cs="Arial"/>
          <w:sz w:val="22"/>
          <w:szCs w:val="22"/>
        </w:rPr>
        <w:t xml:space="preserve"> </w:t>
      </w:r>
      <w:r w:rsidR="00953C6B" w:rsidRPr="008E069E">
        <w:rPr>
          <w:rFonts w:ascii="Calibri" w:hAnsi="Calibri" w:cs="Arial"/>
          <w:sz w:val="22"/>
          <w:szCs w:val="22"/>
        </w:rPr>
        <w:t>a</w:t>
      </w:r>
      <w:r w:rsidR="008E069E" w:rsidRPr="008E069E">
        <w:rPr>
          <w:rFonts w:ascii="Calibri" w:hAnsi="Calibri" w:cs="Arial"/>
          <w:sz w:val="22"/>
          <w:szCs w:val="22"/>
        </w:rPr>
        <w:t>t</w:t>
      </w:r>
      <w:r w:rsidR="00953C6B" w:rsidRPr="008E069E">
        <w:rPr>
          <w:rFonts w:ascii="Calibri" w:hAnsi="Calibri" w:cs="Arial"/>
          <w:sz w:val="22"/>
          <w:szCs w:val="22"/>
        </w:rPr>
        <w:t xml:space="preserve"> </w:t>
      </w:r>
      <w:proofErr w:type="gramStart"/>
      <w:r w:rsidR="008E069E" w:rsidRPr="008E069E">
        <w:rPr>
          <w:rFonts w:ascii="Calibri" w:hAnsi="Calibri" w:cs="Arial"/>
          <w:sz w:val="22"/>
          <w:szCs w:val="22"/>
        </w:rPr>
        <w:t>https://www.falkirkpensionfund.org/resources/</w:t>
      </w:r>
      <w:proofErr w:type="gramEnd"/>
    </w:p>
    <w:p w14:paraId="192A9DC0" w14:textId="38C90201" w:rsidR="007B1871" w:rsidRDefault="007B1871" w:rsidP="00EF5DE5">
      <w:pPr>
        <w:pStyle w:val="Paragraph"/>
        <w:numPr>
          <w:ilvl w:val="0"/>
          <w:numId w:val="12"/>
        </w:numPr>
        <w:autoSpaceDE w:val="0"/>
        <w:autoSpaceDN w:val="0"/>
        <w:adjustRightInd w:val="0"/>
        <w:spacing w:after="200"/>
        <w:rPr>
          <w:rFonts w:ascii="Calibri" w:hAnsi="Calibri" w:cs="Arial"/>
          <w:sz w:val="22"/>
          <w:szCs w:val="22"/>
        </w:rPr>
      </w:pPr>
      <w:r w:rsidRPr="007B1871">
        <w:rPr>
          <w:rFonts w:ascii="Calibri" w:hAnsi="Calibri" w:cs="Arial"/>
          <w:sz w:val="22"/>
          <w:szCs w:val="22"/>
        </w:rPr>
        <w:t xml:space="preserve">Details of voting </w:t>
      </w:r>
      <w:r w:rsidR="00953C6B">
        <w:rPr>
          <w:rFonts w:ascii="Calibri" w:hAnsi="Calibri" w:cs="Arial"/>
          <w:sz w:val="22"/>
          <w:szCs w:val="22"/>
        </w:rPr>
        <w:t xml:space="preserve">and engagement </w:t>
      </w:r>
      <w:r w:rsidRPr="007B1871">
        <w:rPr>
          <w:rFonts w:ascii="Calibri" w:hAnsi="Calibri" w:cs="Arial"/>
          <w:sz w:val="22"/>
          <w:szCs w:val="22"/>
        </w:rPr>
        <w:t xml:space="preserve">are provided to the Committee and Board at quarterly meetings. </w:t>
      </w:r>
      <w:r>
        <w:rPr>
          <w:rFonts w:ascii="Calibri" w:hAnsi="Calibri" w:cs="Arial"/>
          <w:sz w:val="22"/>
          <w:szCs w:val="22"/>
        </w:rPr>
        <w:t xml:space="preserve"> </w:t>
      </w:r>
      <w:r w:rsidR="00953C6B">
        <w:rPr>
          <w:rFonts w:ascii="Calibri" w:hAnsi="Calibri" w:cs="Arial"/>
          <w:sz w:val="22"/>
          <w:szCs w:val="22"/>
        </w:rPr>
        <w:t>This information is publicly available on the Council’s website.</w:t>
      </w:r>
      <w:r>
        <w:rPr>
          <w:rFonts w:ascii="Calibri" w:hAnsi="Calibri" w:cs="Arial"/>
          <w:sz w:val="22"/>
          <w:szCs w:val="22"/>
        </w:rPr>
        <w:t xml:space="preserve"> </w:t>
      </w:r>
      <w:r w:rsidRPr="007B1871">
        <w:rPr>
          <w:rFonts w:ascii="Calibri" w:hAnsi="Calibri" w:cs="Arial"/>
          <w:sz w:val="22"/>
          <w:szCs w:val="22"/>
        </w:rPr>
        <w:t xml:space="preserve"> </w:t>
      </w:r>
    </w:p>
    <w:p w14:paraId="1CC9F9A7" w14:textId="12F289CC" w:rsidR="002039BB" w:rsidRPr="007B1871" w:rsidRDefault="002039BB" w:rsidP="00EF5DE5">
      <w:pPr>
        <w:pStyle w:val="Paragraph"/>
        <w:numPr>
          <w:ilvl w:val="0"/>
          <w:numId w:val="12"/>
        </w:numPr>
        <w:autoSpaceDE w:val="0"/>
        <w:autoSpaceDN w:val="0"/>
        <w:adjustRightInd w:val="0"/>
        <w:spacing w:after="200"/>
        <w:rPr>
          <w:rFonts w:ascii="Calibri" w:hAnsi="Calibri" w:cs="Arial"/>
          <w:sz w:val="22"/>
          <w:szCs w:val="22"/>
        </w:rPr>
      </w:pPr>
      <w:r w:rsidRPr="007B1871">
        <w:rPr>
          <w:rFonts w:ascii="Calibri" w:hAnsi="Calibri" w:cs="Arial"/>
          <w:sz w:val="22"/>
          <w:szCs w:val="22"/>
        </w:rPr>
        <w:t>The Fund’</w:t>
      </w:r>
      <w:r w:rsidR="00210A64" w:rsidRPr="007B1871">
        <w:rPr>
          <w:rFonts w:ascii="Calibri" w:hAnsi="Calibri" w:cs="Arial"/>
          <w:sz w:val="22"/>
          <w:szCs w:val="22"/>
        </w:rPr>
        <w:t>s</w:t>
      </w:r>
      <w:r w:rsidRPr="007B1871">
        <w:rPr>
          <w:rFonts w:ascii="Calibri" w:hAnsi="Calibri" w:cs="Arial"/>
          <w:sz w:val="22"/>
          <w:szCs w:val="22"/>
        </w:rPr>
        <w:t xml:space="preserve"> annual report and accounts </w:t>
      </w:r>
      <w:r w:rsidR="007B1871" w:rsidRPr="007B1871">
        <w:rPr>
          <w:rFonts w:ascii="Calibri" w:hAnsi="Calibri" w:cs="Arial"/>
          <w:sz w:val="22"/>
          <w:szCs w:val="22"/>
        </w:rPr>
        <w:t>also i</w:t>
      </w:r>
      <w:r w:rsidRPr="007B1871">
        <w:rPr>
          <w:rFonts w:ascii="Calibri" w:hAnsi="Calibri" w:cs="Arial"/>
          <w:sz w:val="22"/>
          <w:szCs w:val="22"/>
        </w:rPr>
        <w:t>ncludes a summary of the Fund’</w:t>
      </w:r>
      <w:r w:rsidR="00210A64" w:rsidRPr="007B1871">
        <w:rPr>
          <w:rFonts w:ascii="Calibri" w:hAnsi="Calibri" w:cs="Arial"/>
          <w:sz w:val="22"/>
          <w:szCs w:val="22"/>
        </w:rPr>
        <w:t>s</w:t>
      </w:r>
      <w:r w:rsidRPr="007B1871">
        <w:rPr>
          <w:rFonts w:ascii="Calibri" w:hAnsi="Calibri" w:cs="Arial"/>
          <w:sz w:val="22"/>
          <w:szCs w:val="22"/>
        </w:rPr>
        <w:t xml:space="preserve"> approach to responsible investment. </w:t>
      </w:r>
      <w:r w:rsidR="007B1871" w:rsidRPr="007B1871">
        <w:rPr>
          <w:rFonts w:ascii="Calibri" w:hAnsi="Calibri" w:cs="Arial"/>
          <w:sz w:val="22"/>
          <w:szCs w:val="22"/>
        </w:rPr>
        <w:t xml:space="preserve"> </w:t>
      </w:r>
      <w:r w:rsidRPr="007B1871">
        <w:rPr>
          <w:rFonts w:ascii="Calibri" w:hAnsi="Calibri" w:cs="Arial"/>
          <w:sz w:val="22"/>
          <w:szCs w:val="22"/>
        </w:rPr>
        <w:t xml:space="preserve">The full report is available on the website and is sent to members on request. </w:t>
      </w:r>
    </w:p>
    <w:p w14:paraId="1241F3CB" w14:textId="06DC3FCB" w:rsidR="002039BB" w:rsidRPr="00FC4041" w:rsidRDefault="002039BB" w:rsidP="00660334">
      <w:pPr>
        <w:rPr>
          <w:rFonts w:ascii="Calibri" w:hAnsi="Calibri" w:cs="Arial"/>
          <w:b/>
        </w:rPr>
      </w:pPr>
      <w:r w:rsidRPr="00FC4041">
        <w:rPr>
          <w:rFonts w:ascii="Calibri" w:hAnsi="Calibri" w:cs="Arial"/>
          <w:b/>
        </w:rPr>
        <w:t>Principle 6 – Transparency and reporting</w:t>
      </w:r>
    </w:p>
    <w:p w14:paraId="073277FC" w14:textId="77777777" w:rsidR="002039BB" w:rsidRPr="00FC4041" w:rsidRDefault="002039BB" w:rsidP="002039BB">
      <w:pPr>
        <w:autoSpaceDE w:val="0"/>
        <w:autoSpaceDN w:val="0"/>
        <w:adjustRightInd w:val="0"/>
        <w:rPr>
          <w:rFonts w:ascii="Calibri" w:hAnsi="Calibri" w:cs="Arial"/>
          <w:i/>
          <w:color w:val="000000"/>
        </w:rPr>
      </w:pPr>
      <w:r w:rsidRPr="00FC4041">
        <w:rPr>
          <w:rFonts w:ascii="Calibri" w:hAnsi="Calibri" w:cs="Arial"/>
          <w:i/>
          <w:color w:val="000000"/>
        </w:rPr>
        <w:t xml:space="preserve">Administering authorities should act in a transparent manner, communicating with stakeholders on issues relating to their management of investment, its </w:t>
      </w:r>
      <w:proofErr w:type="gramStart"/>
      <w:r w:rsidRPr="00FC4041">
        <w:rPr>
          <w:rFonts w:ascii="Calibri" w:hAnsi="Calibri" w:cs="Arial"/>
          <w:i/>
          <w:color w:val="000000"/>
        </w:rPr>
        <w:t>governance</w:t>
      </w:r>
      <w:proofErr w:type="gramEnd"/>
      <w:r w:rsidRPr="00FC4041">
        <w:rPr>
          <w:rFonts w:ascii="Calibri" w:hAnsi="Calibri" w:cs="Arial"/>
          <w:i/>
          <w:color w:val="000000"/>
        </w:rPr>
        <w:t xml:space="preserve"> and risks, including performance ag</w:t>
      </w:r>
      <w:r w:rsidR="00F613B5">
        <w:rPr>
          <w:rFonts w:ascii="Calibri" w:hAnsi="Calibri" w:cs="Arial"/>
          <w:i/>
          <w:color w:val="000000"/>
        </w:rPr>
        <w:t>ainst stated objectives; and p</w:t>
      </w:r>
      <w:r w:rsidRPr="00FC4041">
        <w:rPr>
          <w:rFonts w:ascii="Calibri" w:hAnsi="Calibri" w:cs="Arial"/>
          <w:i/>
          <w:color w:val="000000"/>
        </w:rPr>
        <w:t>rovide regular communication to members in the form they consider most appropriate.</w:t>
      </w:r>
    </w:p>
    <w:p w14:paraId="3631ABBB" w14:textId="6B4EEC74"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 xml:space="preserve">Meetings of the Pensions Committee are open to the public. </w:t>
      </w:r>
      <w:r w:rsidR="00F613B5">
        <w:rPr>
          <w:rFonts w:ascii="Calibri" w:hAnsi="Calibri" w:cs="Arial"/>
          <w:sz w:val="22"/>
          <w:szCs w:val="22"/>
        </w:rPr>
        <w:t xml:space="preserve"> </w:t>
      </w:r>
      <w:r w:rsidR="00DD752F">
        <w:rPr>
          <w:rFonts w:ascii="Calibri" w:hAnsi="Calibri" w:cs="Arial"/>
          <w:sz w:val="22"/>
          <w:szCs w:val="22"/>
        </w:rPr>
        <w:t>Members of the public are entitled to make a</w:t>
      </w:r>
      <w:r w:rsidR="00DD752F" w:rsidRPr="00FC4041">
        <w:rPr>
          <w:rFonts w:ascii="Calibri" w:hAnsi="Calibri" w:cs="Arial"/>
          <w:sz w:val="22"/>
          <w:szCs w:val="22"/>
        </w:rPr>
        <w:t xml:space="preserve"> deputation</w:t>
      </w:r>
      <w:r w:rsidRPr="00FC4041">
        <w:rPr>
          <w:rFonts w:ascii="Calibri" w:hAnsi="Calibri" w:cs="Arial"/>
          <w:sz w:val="22"/>
          <w:szCs w:val="22"/>
        </w:rPr>
        <w:t xml:space="preserve"> at Committee meetings.</w:t>
      </w:r>
      <w:r w:rsidR="00F613B5">
        <w:rPr>
          <w:rFonts w:ascii="Calibri" w:hAnsi="Calibri" w:cs="Arial"/>
          <w:sz w:val="22"/>
          <w:szCs w:val="22"/>
        </w:rPr>
        <w:t xml:space="preserve"> </w:t>
      </w:r>
      <w:r w:rsidRPr="00FC4041">
        <w:rPr>
          <w:rFonts w:ascii="Calibri" w:hAnsi="Calibri" w:cs="Arial"/>
          <w:sz w:val="22"/>
          <w:szCs w:val="22"/>
        </w:rPr>
        <w:t xml:space="preserve"> Committee papers are available on the </w:t>
      </w:r>
      <w:r w:rsidR="00210A64">
        <w:rPr>
          <w:rFonts w:ascii="Calibri" w:hAnsi="Calibri" w:cs="Arial"/>
          <w:sz w:val="22"/>
          <w:szCs w:val="22"/>
        </w:rPr>
        <w:t xml:space="preserve">Falkirk </w:t>
      </w:r>
      <w:r w:rsidRPr="00FC4041">
        <w:rPr>
          <w:rFonts w:ascii="Calibri" w:hAnsi="Calibri" w:cs="Arial"/>
          <w:sz w:val="22"/>
          <w:szCs w:val="22"/>
        </w:rPr>
        <w:t>Council</w:t>
      </w:r>
      <w:r w:rsidR="00210A64">
        <w:rPr>
          <w:rFonts w:ascii="Calibri" w:hAnsi="Calibri" w:cs="Arial"/>
          <w:sz w:val="22"/>
          <w:szCs w:val="22"/>
        </w:rPr>
        <w:t xml:space="preserve"> </w:t>
      </w:r>
      <w:r w:rsidRPr="00FC4041">
        <w:rPr>
          <w:rFonts w:ascii="Calibri" w:hAnsi="Calibri" w:cs="Arial"/>
          <w:sz w:val="22"/>
          <w:szCs w:val="22"/>
        </w:rPr>
        <w:t xml:space="preserve">website. The Pension Board joins the Committee at all meetings. </w:t>
      </w:r>
    </w:p>
    <w:p w14:paraId="2A95ECB7" w14:textId="3A3AF017"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lastRenderedPageBreak/>
        <w:t xml:space="preserve">The Committee’s remit covers wider pension scheme issues, </w:t>
      </w:r>
      <w:r w:rsidR="000543EE">
        <w:rPr>
          <w:rFonts w:ascii="Calibri" w:hAnsi="Calibri" w:cs="Arial"/>
          <w:sz w:val="22"/>
          <w:szCs w:val="22"/>
        </w:rPr>
        <w:t xml:space="preserve">in addition to </w:t>
      </w:r>
      <w:r w:rsidRPr="00FC4041">
        <w:rPr>
          <w:rFonts w:ascii="Calibri" w:hAnsi="Calibri" w:cs="Arial"/>
          <w:sz w:val="22"/>
          <w:szCs w:val="22"/>
        </w:rPr>
        <w:t>the management and investment of funds.</w:t>
      </w:r>
    </w:p>
    <w:p w14:paraId="54A702C5" w14:textId="0F2B6C38" w:rsidR="002039BB" w:rsidRPr="00A953B5"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The Fund’</w:t>
      </w:r>
      <w:r w:rsidR="00210A64">
        <w:rPr>
          <w:rFonts w:ascii="Calibri" w:hAnsi="Calibri" w:cs="Arial"/>
          <w:sz w:val="22"/>
          <w:szCs w:val="22"/>
        </w:rPr>
        <w:t>s</w:t>
      </w:r>
      <w:r w:rsidRPr="00FC4041">
        <w:rPr>
          <w:rFonts w:ascii="Calibri" w:hAnsi="Calibri" w:cs="Arial"/>
          <w:sz w:val="22"/>
          <w:szCs w:val="22"/>
        </w:rPr>
        <w:t xml:space="preserve"> policy statements, including the Statement of Investment Principles</w:t>
      </w:r>
      <w:r w:rsidR="00210A64">
        <w:rPr>
          <w:rFonts w:ascii="Calibri" w:hAnsi="Calibri" w:cs="Arial"/>
          <w:sz w:val="22"/>
          <w:szCs w:val="22"/>
        </w:rPr>
        <w:t xml:space="preserve">, </w:t>
      </w:r>
      <w:r w:rsidR="005A7D4C">
        <w:rPr>
          <w:rFonts w:ascii="Calibri" w:hAnsi="Calibri" w:cs="Arial"/>
          <w:sz w:val="22"/>
          <w:szCs w:val="22"/>
        </w:rPr>
        <w:t xml:space="preserve">Statement of Responsible Investment Principles, </w:t>
      </w:r>
      <w:r w:rsidR="00210A64">
        <w:rPr>
          <w:rFonts w:ascii="Calibri" w:hAnsi="Calibri" w:cs="Arial"/>
          <w:sz w:val="22"/>
          <w:szCs w:val="22"/>
        </w:rPr>
        <w:t xml:space="preserve">Governance Compliance Statement </w:t>
      </w:r>
      <w:r w:rsidRPr="00FC4041">
        <w:rPr>
          <w:rFonts w:ascii="Calibri" w:hAnsi="Calibri" w:cs="Arial"/>
          <w:sz w:val="22"/>
          <w:szCs w:val="22"/>
        </w:rPr>
        <w:t>and Funding Strategy Statement are maintained regularly. Stakeholders are consulted on changes.</w:t>
      </w:r>
      <w:r w:rsidR="00DD752F">
        <w:rPr>
          <w:rFonts w:ascii="Calibri" w:hAnsi="Calibri" w:cs="Arial"/>
          <w:sz w:val="22"/>
          <w:szCs w:val="22"/>
        </w:rPr>
        <w:t xml:space="preserve"> </w:t>
      </w:r>
      <w:r w:rsidRPr="00FC4041">
        <w:rPr>
          <w:rFonts w:ascii="Calibri" w:hAnsi="Calibri" w:cs="Arial"/>
          <w:sz w:val="22"/>
          <w:szCs w:val="22"/>
        </w:rPr>
        <w:t xml:space="preserve"> Documents are available on the Fund</w:t>
      </w:r>
      <w:r w:rsidR="0008798D">
        <w:rPr>
          <w:rFonts w:ascii="Calibri" w:hAnsi="Calibri" w:cs="Arial"/>
          <w:sz w:val="22"/>
          <w:szCs w:val="22"/>
        </w:rPr>
        <w:t>’</w:t>
      </w:r>
      <w:r w:rsidRPr="00FC4041">
        <w:rPr>
          <w:rFonts w:ascii="Calibri" w:hAnsi="Calibri" w:cs="Arial"/>
          <w:sz w:val="22"/>
          <w:szCs w:val="22"/>
        </w:rPr>
        <w:t xml:space="preserve">s website. </w:t>
      </w:r>
    </w:p>
    <w:p w14:paraId="262214B0" w14:textId="653BCA92" w:rsidR="00D12761" w:rsidRDefault="002039BB" w:rsidP="00EB35F1">
      <w:pPr>
        <w:pStyle w:val="Paragraph"/>
        <w:numPr>
          <w:ilvl w:val="0"/>
          <w:numId w:val="12"/>
        </w:numPr>
        <w:autoSpaceDE w:val="0"/>
        <w:autoSpaceDN w:val="0"/>
        <w:adjustRightInd w:val="0"/>
        <w:spacing w:after="200"/>
        <w:ind w:left="714" w:hanging="357"/>
        <w:rPr>
          <w:rFonts w:ascii="Calibri" w:hAnsi="Calibri" w:cs="Arial"/>
          <w:sz w:val="22"/>
          <w:szCs w:val="22"/>
        </w:rPr>
      </w:pPr>
      <w:r w:rsidRPr="00FC4041">
        <w:rPr>
          <w:rFonts w:ascii="Calibri" w:hAnsi="Calibri" w:cs="Arial"/>
          <w:sz w:val="22"/>
          <w:szCs w:val="22"/>
        </w:rPr>
        <w:t>The Fund produce</w:t>
      </w:r>
      <w:r w:rsidR="00210A64">
        <w:rPr>
          <w:rFonts w:ascii="Calibri" w:hAnsi="Calibri" w:cs="Arial"/>
          <w:sz w:val="22"/>
          <w:szCs w:val="22"/>
        </w:rPr>
        <w:t>s</w:t>
      </w:r>
      <w:r w:rsidRPr="00FC4041">
        <w:rPr>
          <w:rFonts w:ascii="Calibri" w:hAnsi="Calibri" w:cs="Arial"/>
          <w:sz w:val="22"/>
          <w:szCs w:val="22"/>
        </w:rPr>
        <w:t xml:space="preserve"> an Annual Report &amp; Accounts</w:t>
      </w:r>
      <w:r w:rsidRPr="00A953B5">
        <w:rPr>
          <w:rFonts w:ascii="Calibri" w:hAnsi="Calibri" w:cs="Arial"/>
          <w:sz w:val="22"/>
          <w:szCs w:val="22"/>
        </w:rPr>
        <w:t xml:space="preserve">. </w:t>
      </w:r>
      <w:r w:rsidR="00DD752F">
        <w:rPr>
          <w:rFonts w:ascii="Calibri" w:hAnsi="Calibri" w:cs="Arial"/>
          <w:sz w:val="22"/>
          <w:szCs w:val="22"/>
        </w:rPr>
        <w:t xml:space="preserve"> </w:t>
      </w:r>
      <w:r w:rsidRPr="00A953B5">
        <w:rPr>
          <w:rFonts w:ascii="Calibri" w:hAnsi="Calibri" w:cs="Arial"/>
          <w:sz w:val="22"/>
          <w:szCs w:val="22"/>
        </w:rPr>
        <w:t xml:space="preserve">The full report is available on the </w:t>
      </w:r>
      <w:r w:rsidR="00491609" w:rsidRPr="00A953B5">
        <w:rPr>
          <w:rFonts w:ascii="Calibri" w:hAnsi="Calibri" w:cs="Arial"/>
          <w:sz w:val="22"/>
          <w:szCs w:val="22"/>
        </w:rPr>
        <w:t>website and</w:t>
      </w:r>
      <w:r w:rsidRPr="00A953B5">
        <w:rPr>
          <w:rFonts w:ascii="Calibri" w:hAnsi="Calibri" w:cs="Arial"/>
          <w:sz w:val="22"/>
          <w:szCs w:val="22"/>
        </w:rPr>
        <w:t xml:space="preserve"> is sent to members on request.  The Fund also produce</w:t>
      </w:r>
      <w:r w:rsidR="0008798D">
        <w:rPr>
          <w:rFonts w:ascii="Calibri" w:hAnsi="Calibri" w:cs="Arial"/>
          <w:sz w:val="22"/>
          <w:szCs w:val="22"/>
        </w:rPr>
        <w:t>s</w:t>
      </w:r>
      <w:r w:rsidRPr="00A953B5">
        <w:rPr>
          <w:rFonts w:ascii="Calibri" w:hAnsi="Calibri" w:cs="Arial"/>
          <w:sz w:val="22"/>
          <w:szCs w:val="22"/>
        </w:rPr>
        <w:t xml:space="preserve"> </w:t>
      </w:r>
      <w:r w:rsidR="00210A64">
        <w:rPr>
          <w:rFonts w:ascii="Calibri" w:hAnsi="Calibri" w:cs="Arial"/>
          <w:sz w:val="22"/>
          <w:szCs w:val="22"/>
        </w:rPr>
        <w:t xml:space="preserve">an annual </w:t>
      </w:r>
      <w:r w:rsidRPr="00FC4041">
        <w:rPr>
          <w:rFonts w:ascii="Calibri" w:hAnsi="Calibri" w:cs="Arial"/>
          <w:sz w:val="22"/>
          <w:szCs w:val="22"/>
        </w:rPr>
        <w:t xml:space="preserve">newsletter for members as well as an annual benefit statement. </w:t>
      </w:r>
      <w:r w:rsidR="00DD752F">
        <w:rPr>
          <w:rFonts w:ascii="Calibri" w:hAnsi="Calibri" w:cs="Arial"/>
          <w:sz w:val="22"/>
          <w:szCs w:val="22"/>
        </w:rPr>
        <w:t xml:space="preserve"> </w:t>
      </w:r>
      <w:r w:rsidRPr="00FC4041">
        <w:rPr>
          <w:rFonts w:ascii="Calibri" w:hAnsi="Calibri" w:cs="Arial"/>
          <w:sz w:val="22"/>
          <w:szCs w:val="22"/>
        </w:rPr>
        <w:t xml:space="preserve">Regular briefings are provided to employers. </w:t>
      </w:r>
      <w:r w:rsidR="00DD752F">
        <w:rPr>
          <w:rFonts w:ascii="Calibri" w:hAnsi="Calibri" w:cs="Arial"/>
          <w:sz w:val="22"/>
          <w:szCs w:val="22"/>
        </w:rPr>
        <w:t xml:space="preserve"> </w:t>
      </w:r>
      <w:r w:rsidRPr="00FC4041">
        <w:rPr>
          <w:rFonts w:ascii="Calibri" w:hAnsi="Calibri" w:cs="Arial"/>
          <w:sz w:val="22"/>
          <w:szCs w:val="22"/>
        </w:rPr>
        <w:t>The Fund</w:t>
      </w:r>
      <w:r w:rsidR="00A953B5">
        <w:rPr>
          <w:rFonts w:ascii="Calibri" w:hAnsi="Calibri" w:cs="Arial"/>
          <w:sz w:val="22"/>
          <w:szCs w:val="22"/>
        </w:rPr>
        <w:t xml:space="preserve"> website is updated regularly.</w:t>
      </w:r>
      <w:r w:rsidRPr="00A953B5">
        <w:rPr>
          <w:rFonts w:ascii="Calibri" w:hAnsi="Calibri" w:cs="Arial"/>
          <w:sz w:val="22"/>
          <w:szCs w:val="22"/>
        </w:rPr>
        <w:t xml:space="preserve"> </w:t>
      </w:r>
    </w:p>
    <w:p w14:paraId="4285B0DF" w14:textId="77777777" w:rsidR="00E54BE8" w:rsidRDefault="00E54BE8" w:rsidP="00E54BE8">
      <w:pPr>
        <w:pStyle w:val="Paragraph"/>
        <w:numPr>
          <w:ilvl w:val="0"/>
          <w:numId w:val="0"/>
        </w:numPr>
        <w:autoSpaceDE w:val="0"/>
        <w:autoSpaceDN w:val="0"/>
        <w:adjustRightInd w:val="0"/>
        <w:spacing w:after="200"/>
        <w:ind w:left="720" w:hanging="720"/>
        <w:rPr>
          <w:rFonts w:ascii="Calibri" w:hAnsi="Calibri" w:cs="Arial"/>
          <w:sz w:val="22"/>
          <w:szCs w:val="22"/>
        </w:rPr>
      </w:pPr>
    </w:p>
    <w:p w14:paraId="1DDF2711" w14:textId="77777777" w:rsidR="00E54BE8" w:rsidRDefault="00E54BE8" w:rsidP="00E54BE8">
      <w:pPr>
        <w:pStyle w:val="Paragraph"/>
        <w:numPr>
          <w:ilvl w:val="0"/>
          <w:numId w:val="0"/>
        </w:numPr>
        <w:autoSpaceDE w:val="0"/>
        <w:autoSpaceDN w:val="0"/>
        <w:adjustRightInd w:val="0"/>
        <w:spacing w:after="200"/>
        <w:ind w:left="720" w:hanging="720"/>
        <w:rPr>
          <w:rFonts w:ascii="Calibri" w:hAnsi="Calibri" w:cs="Arial"/>
          <w:sz w:val="22"/>
          <w:szCs w:val="22"/>
        </w:rPr>
      </w:pPr>
    </w:p>
    <w:p w14:paraId="14EA78AB" w14:textId="77777777" w:rsidR="00E54BE8" w:rsidRDefault="00E54BE8" w:rsidP="00E54BE8">
      <w:pPr>
        <w:pStyle w:val="Paragraph"/>
        <w:numPr>
          <w:ilvl w:val="0"/>
          <w:numId w:val="0"/>
        </w:numPr>
        <w:autoSpaceDE w:val="0"/>
        <w:autoSpaceDN w:val="0"/>
        <w:adjustRightInd w:val="0"/>
        <w:spacing w:after="200"/>
        <w:ind w:left="720" w:hanging="720"/>
        <w:rPr>
          <w:rFonts w:ascii="Calibri" w:hAnsi="Calibri" w:cs="Arial"/>
          <w:sz w:val="22"/>
          <w:szCs w:val="22"/>
        </w:rPr>
      </w:pPr>
    </w:p>
    <w:p w14:paraId="032AB96D" w14:textId="77777777" w:rsidR="00E54BE8" w:rsidRDefault="00E54BE8" w:rsidP="00E54BE8">
      <w:pPr>
        <w:pStyle w:val="Paragraph"/>
        <w:numPr>
          <w:ilvl w:val="0"/>
          <w:numId w:val="0"/>
        </w:numPr>
        <w:autoSpaceDE w:val="0"/>
        <w:autoSpaceDN w:val="0"/>
        <w:adjustRightInd w:val="0"/>
        <w:spacing w:after="200"/>
        <w:ind w:left="720" w:hanging="720"/>
        <w:rPr>
          <w:rFonts w:ascii="Calibri" w:hAnsi="Calibri" w:cs="Arial"/>
          <w:sz w:val="22"/>
          <w:szCs w:val="22"/>
        </w:rPr>
      </w:pPr>
    </w:p>
    <w:p w14:paraId="0223E229" w14:textId="50BB7BDF" w:rsidR="00E54BE8" w:rsidRDefault="00E54BE8" w:rsidP="00E54BE8">
      <w:pPr>
        <w:pStyle w:val="Paragraph"/>
        <w:numPr>
          <w:ilvl w:val="0"/>
          <w:numId w:val="0"/>
        </w:numPr>
        <w:autoSpaceDE w:val="0"/>
        <w:autoSpaceDN w:val="0"/>
        <w:adjustRightInd w:val="0"/>
        <w:spacing w:after="200"/>
        <w:ind w:left="720" w:hanging="720"/>
        <w:rPr>
          <w:rFonts w:ascii="Calibri" w:hAnsi="Calibri" w:cs="Arial"/>
          <w:sz w:val="22"/>
          <w:szCs w:val="22"/>
        </w:rPr>
      </w:pPr>
      <w:r>
        <w:rPr>
          <w:rFonts w:ascii="Calibri" w:hAnsi="Calibri" w:cs="Arial"/>
          <w:sz w:val="22"/>
          <w:szCs w:val="22"/>
        </w:rPr>
        <w:t>Chief Finance Officer</w:t>
      </w:r>
    </w:p>
    <w:p w14:paraId="2B5AAD6A" w14:textId="6B41E1ED" w:rsidR="00E54BE8" w:rsidRDefault="00E54BE8" w:rsidP="00E54BE8">
      <w:pPr>
        <w:pStyle w:val="Paragraph"/>
        <w:numPr>
          <w:ilvl w:val="0"/>
          <w:numId w:val="0"/>
        </w:numPr>
        <w:autoSpaceDE w:val="0"/>
        <w:autoSpaceDN w:val="0"/>
        <w:adjustRightInd w:val="0"/>
        <w:spacing w:after="200"/>
        <w:ind w:left="720" w:hanging="720"/>
        <w:rPr>
          <w:rFonts w:ascii="Calibri" w:hAnsi="Calibri" w:cs="Arial"/>
          <w:sz w:val="22"/>
          <w:szCs w:val="22"/>
        </w:rPr>
      </w:pPr>
      <w:r>
        <w:rPr>
          <w:rFonts w:ascii="Calibri" w:hAnsi="Calibri" w:cs="Arial"/>
          <w:sz w:val="22"/>
          <w:szCs w:val="22"/>
        </w:rPr>
        <w:t xml:space="preserve">Falkirk Council </w:t>
      </w:r>
    </w:p>
    <w:p w14:paraId="438BF4FA" w14:textId="5E8F1E4B" w:rsidR="00E54BE8" w:rsidRPr="00A953B5" w:rsidRDefault="008E069E" w:rsidP="00E54BE8">
      <w:pPr>
        <w:pStyle w:val="Paragraph"/>
        <w:numPr>
          <w:ilvl w:val="0"/>
          <w:numId w:val="0"/>
        </w:numPr>
        <w:autoSpaceDE w:val="0"/>
        <w:autoSpaceDN w:val="0"/>
        <w:adjustRightInd w:val="0"/>
        <w:spacing w:after="200"/>
        <w:ind w:left="720" w:hanging="720"/>
        <w:rPr>
          <w:rFonts w:ascii="Calibri" w:hAnsi="Calibri" w:cs="Arial"/>
          <w:sz w:val="22"/>
          <w:szCs w:val="22"/>
        </w:rPr>
      </w:pPr>
      <w:r>
        <w:rPr>
          <w:rFonts w:ascii="Calibri" w:hAnsi="Calibri" w:cs="Arial"/>
          <w:sz w:val="22"/>
          <w:szCs w:val="22"/>
        </w:rPr>
        <w:t>14 March 2024</w:t>
      </w:r>
    </w:p>
    <w:sectPr w:rsidR="00E54BE8" w:rsidRPr="00A953B5" w:rsidSect="00470655">
      <w:footerReference w:type="default" r:id="rId14"/>
      <w:headerReference w:type="first" r:id="rId15"/>
      <w:pgSz w:w="11906" w:h="16838" w:code="9"/>
      <w:pgMar w:top="1191" w:right="1418" w:bottom="1191" w:left="136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96BF" w14:textId="77777777" w:rsidR="00470655" w:rsidRDefault="00470655">
      <w:pPr>
        <w:spacing w:after="0" w:line="240" w:lineRule="auto"/>
      </w:pPr>
      <w:r>
        <w:separator/>
      </w:r>
    </w:p>
  </w:endnote>
  <w:endnote w:type="continuationSeparator" w:id="0">
    <w:p w14:paraId="5738D717" w14:textId="77777777" w:rsidR="00470655" w:rsidRDefault="00470655">
      <w:pPr>
        <w:spacing w:after="0" w:line="240" w:lineRule="auto"/>
      </w:pPr>
      <w:r>
        <w:continuationSeparator/>
      </w:r>
    </w:p>
  </w:endnote>
  <w:endnote w:type="continuationNotice" w:id="1">
    <w:p w14:paraId="36E2F7FE" w14:textId="77777777" w:rsidR="00470655" w:rsidRDefault="004706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1375527538"/>
      <w:docPartObj>
        <w:docPartGallery w:val="Page Numbers (Bottom of Page)"/>
        <w:docPartUnique/>
      </w:docPartObj>
    </w:sdtPr>
    <w:sdtEndPr>
      <w:rPr>
        <w:noProof/>
      </w:rPr>
    </w:sdtEndPr>
    <w:sdtContent>
      <w:p w14:paraId="7765EB44" w14:textId="1F2CA782" w:rsidR="00534D5C" w:rsidRPr="00130F00" w:rsidRDefault="00534D5C" w:rsidP="00130F00">
        <w:pPr>
          <w:pStyle w:val="Footer"/>
          <w:ind w:firstLine="720"/>
          <w:jc w:val="right"/>
          <w:rPr>
            <w:rFonts w:ascii="Calibri" w:hAnsi="Calibri"/>
          </w:rPr>
        </w:pPr>
        <w:r w:rsidRPr="00130F00">
          <w:rPr>
            <w:rFonts w:ascii="Calibri" w:hAnsi="Calibri"/>
          </w:rPr>
          <w:t xml:space="preserve">Page </w:t>
        </w:r>
        <w:r w:rsidRPr="00130F00">
          <w:rPr>
            <w:rFonts w:ascii="Calibri" w:hAnsi="Calibri"/>
            <w:b/>
            <w:bCs/>
          </w:rPr>
          <w:fldChar w:fldCharType="begin"/>
        </w:r>
        <w:r w:rsidRPr="00130F00">
          <w:rPr>
            <w:rFonts w:ascii="Calibri" w:hAnsi="Calibri"/>
            <w:b/>
            <w:bCs/>
          </w:rPr>
          <w:instrText xml:space="preserve"> PAGE  \* Arabic  \* MERGEFORMAT </w:instrText>
        </w:r>
        <w:r w:rsidRPr="00130F00">
          <w:rPr>
            <w:rFonts w:ascii="Calibri" w:hAnsi="Calibri"/>
            <w:b/>
            <w:bCs/>
          </w:rPr>
          <w:fldChar w:fldCharType="separate"/>
        </w:r>
        <w:r w:rsidR="008C463B">
          <w:rPr>
            <w:rFonts w:ascii="Calibri" w:hAnsi="Calibri"/>
            <w:b/>
            <w:bCs/>
            <w:noProof/>
          </w:rPr>
          <w:t>3</w:t>
        </w:r>
        <w:r w:rsidRPr="00130F00">
          <w:rPr>
            <w:rFonts w:ascii="Calibri" w:hAnsi="Calibri"/>
            <w:b/>
            <w:bCs/>
          </w:rPr>
          <w:fldChar w:fldCharType="end"/>
        </w:r>
        <w:r w:rsidRPr="00130F00">
          <w:rPr>
            <w:rFonts w:ascii="Calibri" w:hAnsi="Calibri"/>
          </w:rPr>
          <w:t xml:space="preserve"> of </w:t>
        </w:r>
        <w:r w:rsidRPr="00130F00">
          <w:rPr>
            <w:rFonts w:ascii="Calibri" w:hAnsi="Calibri"/>
            <w:b/>
            <w:bCs/>
          </w:rPr>
          <w:fldChar w:fldCharType="begin"/>
        </w:r>
        <w:r w:rsidRPr="00130F00">
          <w:rPr>
            <w:rFonts w:ascii="Calibri" w:hAnsi="Calibri"/>
            <w:b/>
            <w:bCs/>
          </w:rPr>
          <w:instrText xml:space="preserve"> NUMPAGES  \* Arabic  \* MERGEFORMAT </w:instrText>
        </w:r>
        <w:r w:rsidRPr="00130F00">
          <w:rPr>
            <w:rFonts w:ascii="Calibri" w:hAnsi="Calibri"/>
            <w:b/>
            <w:bCs/>
          </w:rPr>
          <w:fldChar w:fldCharType="separate"/>
        </w:r>
        <w:r w:rsidR="008C463B">
          <w:rPr>
            <w:rFonts w:ascii="Calibri" w:hAnsi="Calibri"/>
            <w:b/>
            <w:bCs/>
            <w:noProof/>
          </w:rPr>
          <w:t>16</w:t>
        </w:r>
        <w:r w:rsidRPr="00130F00">
          <w:rPr>
            <w:rFonts w:ascii="Calibri" w:hAnsi="Calibri"/>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C649" w14:textId="77777777" w:rsidR="00470655" w:rsidRDefault="00470655">
      <w:pPr>
        <w:spacing w:after="0" w:line="240" w:lineRule="auto"/>
      </w:pPr>
      <w:r>
        <w:separator/>
      </w:r>
    </w:p>
  </w:footnote>
  <w:footnote w:type="continuationSeparator" w:id="0">
    <w:p w14:paraId="18E0040E" w14:textId="77777777" w:rsidR="00470655" w:rsidRDefault="00470655">
      <w:pPr>
        <w:spacing w:after="0" w:line="240" w:lineRule="auto"/>
      </w:pPr>
      <w:r>
        <w:continuationSeparator/>
      </w:r>
    </w:p>
  </w:footnote>
  <w:footnote w:type="continuationNotice" w:id="1">
    <w:p w14:paraId="09FA9678" w14:textId="77777777" w:rsidR="00470655" w:rsidRDefault="004706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C3A9" w14:textId="69103910" w:rsidR="00534D5C" w:rsidRDefault="00534D5C">
    <w:pPr>
      <w:pStyle w:val="Header"/>
    </w:pPr>
    <w:r>
      <w:t xml:space="preserve">Version </w:t>
    </w:r>
    <w:r w:rsidR="004F6AB9">
      <w:t>1</w:t>
    </w:r>
    <w:r>
      <w:t>.0 (</w:t>
    </w:r>
    <w:r w:rsidR="00807C2D">
      <w:t>1</w:t>
    </w:r>
    <w:r>
      <w:t xml:space="preserve"> </w:t>
    </w:r>
    <w:r w:rsidR="004F6AB9">
      <w:t xml:space="preserve">March </w:t>
    </w:r>
    <w:r>
      <w:t>20</w:t>
    </w:r>
    <w:r w:rsidR="00807C2D">
      <w:t>2</w:t>
    </w:r>
    <w:r w:rsidR="004F6AB9">
      <w:t>4</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ECB"/>
    <w:multiLevelType w:val="multilevel"/>
    <w:tmpl w:val="7706A16E"/>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6D076A9"/>
    <w:multiLevelType w:val="multilevel"/>
    <w:tmpl w:val="C4661B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D2A30"/>
    <w:multiLevelType w:val="multilevel"/>
    <w:tmpl w:val="4F20FDB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3E295D"/>
    <w:multiLevelType w:val="multilevel"/>
    <w:tmpl w:val="09AA3E9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425CE"/>
    <w:multiLevelType w:val="multilevel"/>
    <w:tmpl w:val="1DE2D9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27E23"/>
    <w:multiLevelType w:val="hybridMultilevel"/>
    <w:tmpl w:val="987EA2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B86EE6"/>
    <w:multiLevelType w:val="multilevel"/>
    <w:tmpl w:val="1556F6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F626A"/>
    <w:multiLevelType w:val="hybridMultilevel"/>
    <w:tmpl w:val="51C67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60EEE"/>
    <w:multiLevelType w:val="hybridMultilevel"/>
    <w:tmpl w:val="F5AEA0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DEC057F"/>
    <w:multiLevelType w:val="hybridMultilevel"/>
    <w:tmpl w:val="2158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8268E"/>
    <w:multiLevelType w:val="multilevel"/>
    <w:tmpl w:val="C340E720"/>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3705785A"/>
    <w:multiLevelType w:val="hybridMultilevel"/>
    <w:tmpl w:val="D7D2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A0E2E"/>
    <w:multiLevelType w:val="hybridMultilevel"/>
    <w:tmpl w:val="59D2627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3" w15:restartNumberingAfterBreak="0">
    <w:nsid w:val="38D04E78"/>
    <w:multiLevelType w:val="hybridMultilevel"/>
    <w:tmpl w:val="353EE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E6546A"/>
    <w:multiLevelType w:val="hybridMultilevel"/>
    <w:tmpl w:val="A61E71B6"/>
    <w:lvl w:ilvl="0" w:tplc="8B74681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8184D"/>
    <w:multiLevelType w:val="multilevel"/>
    <w:tmpl w:val="D6949E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A82C7C"/>
    <w:multiLevelType w:val="multilevel"/>
    <w:tmpl w:val="BDA2769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FD440CA"/>
    <w:multiLevelType w:val="hybridMultilevel"/>
    <w:tmpl w:val="38A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31F36"/>
    <w:multiLevelType w:val="multilevel"/>
    <w:tmpl w:val="243EAF1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D34A45"/>
    <w:multiLevelType w:val="multilevel"/>
    <w:tmpl w:val="D6949E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703F05"/>
    <w:multiLevelType w:val="hybridMultilevel"/>
    <w:tmpl w:val="E0DE1F4C"/>
    <w:lvl w:ilvl="0" w:tplc="79D6AB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4407F"/>
    <w:multiLevelType w:val="hybridMultilevel"/>
    <w:tmpl w:val="C11C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97626"/>
    <w:multiLevelType w:val="hybridMultilevel"/>
    <w:tmpl w:val="CEB8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5791F"/>
    <w:multiLevelType w:val="multilevel"/>
    <w:tmpl w:val="FE8E514C"/>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A7E43EF"/>
    <w:multiLevelType w:val="multilevel"/>
    <w:tmpl w:val="B0D8D7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6A572D"/>
    <w:multiLevelType w:val="hybridMultilevel"/>
    <w:tmpl w:val="0970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4C4174"/>
    <w:multiLevelType w:val="multilevel"/>
    <w:tmpl w:val="A328B322"/>
    <w:lvl w:ilvl="0">
      <w:start w:val="4"/>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76060E29"/>
    <w:multiLevelType w:val="multilevel"/>
    <w:tmpl w:val="C55A8B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num w:numId="1" w16cid:durableId="748692396">
    <w:abstractNumId w:val="27"/>
  </w:num>
  <w:num w:numId="2" w16cid:durableId="31731698">
    <w:abstractNumId w:val="10"/>
  </w:num>
  <w:num w:numId="3" w16cid:durableId="1410540696">
    <w:abstractNumId w:val="4"/>
  </w:num>
  <w:num w:numId="4" w16cid:durableId="638149951">
    <w:abstractNumId w:val="19"/>
  </w:num>
  <w:num w:numId="5" w16cid:durableId="1973553877">
    <w:abstractNumId w:val="16"/>
  </w:num>
  <w:num w:numId="6" w16cid:durableId="997728881">
    <w:abstractNumId w:val="15"/>
  </w:num>
  <w:num w:numId="7" w16cid:durableId="1342470750">
    <w:abstractNumId w:val="5"/>
  </w:num>
  <w:num w:numId="8" w16cid:durableId="1593007630">
    <w:abstractNumId w:val="6"/>
  </w:num>
  <w:num w:numId="9" w16cid:durableId="57290716">
    <w:abstractNumId w:val="24"/>
  </w:num>
  <w:num w:numId="10" w16cid:durableId="1265649009">
    <w:abstractNumId w:val="8"/>
  </w:num>
  <w:num w:numId="11" w16cid:durableId="1958481698">
    <w:abstractNumId w:val="1"/>
  </w:num>
  <w:num w:numId="12" w16cid:durableId="1179661797">
    <w:abstractNumId w:val="7"/>
  </w:num>
  <w:num w:numId="13" w16cid:durableId="1544370747">
    <w:abstractNumId w:val="20"/>
  </w:num>
  <w:num w:numId="14" w16cid:durableId="1084179196">
    <w:abstractNumId w:val="14"/>
  </w:num>
  <w:num w:numId="15" w16cid:durableId="45179974">
    <w:abstractNumId w:val="11"/>
  </w:num>
  <w:num w:numId="16" w16cid:durableId="1592549159">
    <w:abstractNumId w:val="12"/>
  </w:num>
  <w:num w:numId="17" w16cid:durableId="1192690250">
    <w:abstractNumId w:val="25"/>
  </w:num>
  <w:num w:numId="18" w16cid:durableId="929390784">
    <w:abstractNumId w:val="21"/>
  </w:num>
  <w:num w:numId="19" w16cid:durableId="416941878">
    <w:abstractNumId w:val="17"/>
  </w:num>
  <w:num w:numId="20" w16cid:durableId="1391419884">
    <w:abstractNumId w:val="9"/>
  </w:num>
  <w:num w:numId="21" w16cid:durableId="1595284503">
    <w:abstractNumId w:val="13"/>
  </w:num>
  <w:num w:numId="22" w16cid:durableId="979188495">
    <w:abstractNumId w:val="23"/>
  </w:num>
  <w:num w:numId="23" w16cid:durableId="1900243122">
    <w:abstractNumId w:val="26"/>
  </w:num>
  <w:num w:numId="24" w16cid:durableId="146409459">
    <w:abstractNumId w:val="22"/>
  </w:num>
  <w:num w:numId="25" w16cid:durableId="1740786662">
    <w:abstractNumId w:val="18"/>
  </w:num>
  <w:num w:numId="26" w16cid:durableId="2105877460">
    <w:abstractNumId w:val="2"/>
  </w:num>
  <w:num w:numId="27" w16cid:durableId="533152734">
    <w:abstractNumId w:val="3"/>
  </w:num>
  <w:num w:numId="28" w16cid:durableId="100204646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E6695"/>
    <w:rsid w:val="00027B1D"/>
    <w:rsid w:val="00035B8E"/>
    <w:rsid w:val="00037CA4"/>
    <w:rsid w:val="000425ED"/>
    <w:rsid w:val="00044188"/>
    <w:rsid w:val="00051CA5"/>
    <w:rsid w:val="000543EE"/>
    <w:rsid w:val="000671D3"/>
    <w:rsid w:val="000723A4"/>
    <w:rsid w:val="000736BD"/>
    <w:rsid w:val="00074782"/>
    <w:rsid w:val="00077F00"/>
    <w:rsid w:val="0008798D"/>
    <w:rsid w:val="00096B28"/>
    <w:rsid w:val="000A4376"/>
    <w:rsid w:val="000A55BB"/>
    <w:rsid w:val="000A6CF6"/>
    <w:rsid w:val="000B0E0D"/>
    <w:rsid w:val="000B4AAB"/>
    <w:rsid w:val="000C4056"/>
    <w:rsid w:val="000C6223"/>
    <w:rsid w:val="000D632E"/>
    <w:rsid w:val="000E16B0"/>
    <w:rsid w:val="000E2F17"/>
    <w:rsid w:val="000F5294"/>
    <w:rsid w:val="000F6106"/>
    <w:rsid w:val="00107F7A"/>
    <w:rsid w:val="0012029C"/>
    <w:rsid w:val="00120E38"/>
    <w:rsid w:val="00123C46"/>
    <w:rsid w:val="00130F00"/>
    <w:rsid w:val="00133ADB"/>
    <w:rsid w:val="001340F7"/>
    <w:rsid w:val="0013444D"/>
    <w:rsid w:val="00135E59"/>
    <w:rsid w:val="00137A6D"/>
    <w:rsid w:val="001444CC"/>
    <w:rsid w:val="00147FD6"/>
    <w:rsid w:val="00153B43"/>
    <w:rsid w:val="001809E4"/>
    <w:rsid w:val="00194DF6"/>
    <w:rsid w:val="00195209"/>
    <w:rsid w:val="001A3352"/>
    <w:rsid w:val="001A3C5A"/>
    <w:rsid w:val="001A5195"/>
    <w:rsid w:val="001B28F1"/>
    <w:rsid w:val="001B35E8"/>
    <w:rsid w:val="001C12D9"/>
    <w:rsid w:val="001C609C"/>
    <w:rsid w:val="001D065D"/>
    <w:rsid w:val="001D2E26"/>
    <w:rsid w:val="001E05F7"/>
    <w:rsid w:val="001E2DEE"/>
    <w:rsid w:val="00203839"/>
    <w:rsid w:val="002039BB"/>
    <w:rsid w:val="00203BE3"/>
    <w:rsid w:val="00210A64"/>
    <w:rsid w:val="00213BAA"/>
    <w:rsid w:val="00224862"/>
    <w:rsid w:val="00225A20"/>
    <w:rsid w:val="0022780B"/>
    <w:rsid w:val="00233588"/>
    <w:rsid w:val="00236EC8"/>
    <w:rsid w:val="00241895"/>
    <w:rsid w:val="0024189F"/>
    <w:rsid w:val="0024600E"/>
    <w:rsid w:val="00247AAB"/>
    <w:rsid w:val="00251F44"/>
    <w:rsid w:val="00267F55"/>
    <w:rsid w:val="00270E16"/>
    <w:rsid w:val="0027271E"/>
    <w:rsid w:val="00274CE4"/>
    <w:rsid w:val="0027727E"/>
    <w:rsid w:val="00277972"/>
    <w:rsid w:val="00283BBA"/>
    <w:rsid w:val="0028558D"/>
    <w:rsid w:val="00286611"/>
    <w:rsid w:val="002A25D4"/>
    <w:rsid w:val="002A4D10"/>
    <w:rsid w:val="002A5728"/>
    <w:rsid w:val="002B13E5"/>
    <w:rsid w:val="002B321A"/>
    <w:rsid w:val="002B3284"/>
    <w:rsid w:val="002B37D5"/>
    <w:rsid w:val="002B3856"/>
    <w:rsid w:val="002D3483"/>
    <w:rsid w:val="002E2AE1"/>
    <w:rsid w:val="002E3EEB"/>
    <w:rsid w:val="002F6B13"/>
    <w:rsid w:val="00326011"/>
    <w:rsid w:val="00327FB3"/>
    <w:rsid w:val="00334A8E"/>
    <w:rsid w:val="003470FC"/>
    <w:rsid w:val="00357BFC"/>
    <w:rsid w:val="00366098"/>
    <w:rsid w:val="00367264"/>
    <w:rsid w:val="003673D4"/>
    <w:rsid w:val="0037222B"/>
    <w:rsid w:val="00372F3D"/>
    <w:rsid w:val="003817F2"/>
    <w:rsid w:val="003B4F75"/>
    <w:rsid w:val="003B4FF8"/>
    <w:rsid w:val="003B53F8"/>
    <w:rsid w:val="003B60C1"/>
    <w:rsid w:val="003C7D4F"/>
    <w:rsid w:val="003C7F49"/>
    <w:rsid w:val="003E0565"/>
    <w:rsid w:val="003E738C"/>
    <w:rsid w:val="003F037D"/>
    <w:rsid w:val="003F03BB"/>
    <w:rsid w:val="003F14C3"/>
    <w:rsid w:val="00403BE3"/>
    <w:rsid w:val="00411516"/>
    <w:rsid w:val="00412339"/>
    <w:rsid w:val="004166CC"/>
    <w:rsid w:val="00421C86"/>
    <w:rsid w:val="00425011"/>
    <w:rsid w:val="0042626B"/>
    <w:rsid w:val="004311AC"/>
    <w:rsid w:val="00434DFF"/>
    <w:rsid w:val="00435157"/>
    <w:rsid w:val="00437914"/>
    <w:rsid w:val="00454ADD"/>
    <w:rsid w:val="00456B16"/>
    <w:rsid w:val="004606AF"/>
    <w:rsid w:val="00470655"/>
    <w:rsid w:val="00481F3C"/>
    <w:rsid w:val="00485F1D"/>
    <w:rsid w:val="00491609"/>
    <w:rsid w:val="004A3393"/>
    <w:rsid w:val="004B2DDC"/>
    <w:rsid w:val="004B785F"/>
    <w:rsid w:val="004C046B"/>
    <w:rsid w:val="004C0BFE"/>
    <w:rsid w:val="004C73DF"/>
    <w:rsid w:val="004D0AD2"/>
    <w:rsid w:val="004D5ABF"/>
    <w:rsid w:val="004E118D"/>
    <w:rsid w:val="004E1AED"/>
    <w:rsid w:val="004E3F2D"/>
    <w:rsid w:val="004E57DE"/>
    <w:rsid w:val="004F35D9"/>
    <w:rsid w:val="004F6AB9"/>
    <w:rsid w:val="004F7535"/>
    <w:rsid w:val="0050071B"/>
    <w:rsid w:val="00505AF5"/>
    <w:rsid w:val="0051686C"/>
    <w:rsid w:val="00524FD3"/>
    <w:rsid w:val="00526DC0"/>
    <w:rsid w:val="00527603"/>
    <w:rsid w:val="005328E2"/>
    <w:rsid w:val="00534D5C"/>
    <w:rsid w:val="005471F2"/>
    <w:rsid w:val="0055105A"/>
    <w:rsid w:val="0058280F"/>
    <w:rsid w:val="00584E78"/>
    <w:rsid w:val="005863E5"/>
    <w:rsid w:val="005A1613"/>
    <w:rsid w:val="005A1EB4"/>
    <w:rsid w:val="005A21C6"/>
    <w:rsid w:val="005A597A"/>
    <w:rsid w:val="005A65A9"/>
    <w:rsid w:val="005A703C"/>
    <w:rsid w:val="005A7D4C"/>
    <w:rsid w:val="005C12A5"/>
    <w:rsid w:val="005D4AE9"/>
    <w:rsid w:val="005D7636"/>
    <w:rsid w:val="005E0532"/>
    <w:rsid w:val="005F289D"/>
    <w:rsid w:val="005F29A6"/>
    <w:rsid w:val="005F2F59"/>
    <w:rsid w:val="00603C30"/>
    <w:rsid w:val="00605307"/>
    <w:rsid w:val="006310D9"/>
    <w:rsid w:val="006416FC"/>
    <w:rsid w:val="0064293A"/>
    <w:rsid w:val="00645F36"/>
    <w:rsid w:val="0065399A"/>
    <w:rsid w:val="00660334"/>
    <w:rsid w:val="00662226"/>
    <w:rsid w:val="00681090"/>
    <w:rsid w:val="00686EDE"/>
    <w:rsid w:val="006907AD"/>
    <w:rsid w:val="00695F85"/>
    <w:rsid w:val="006A5987"/>
    <w:rsid w:val="006B598A"/>
    <w:rsid w:val="006B5D23"/>
    <w:rsid w:val="006B621A"/>
    <w:rsid w:val="006C4BE2"/>
    <w:rsid w:val="006D03B2"/>
    <w:rsid w:val="006D5F9F"/>
    <w:rsid w:val="006E1745"/>
    <w:rsid w:val="006E5300"/>
    <w:rsid w:val="007029D2"/>
    <w:rsid w:val="00702A85"/>
    <w:rsid w:val="007046E9"/>
    <w:rsid w:val="00711ED3"/>
    <w:rsid w:val="00714414"/>
    <w:rsid w:val="007323C6"/>
    <w:rsid w:val="00744D97"/>
    <w:rsid w:val="007478C9"/>
    <w:rsid w:val="00752ABC"/>
    <w:rsid w:val="00753E66"/>
    <w:rsid w:val="00757115"/>
    <w:rsid w:val="00766606"/>
    <w:rsid w:val="007703F4"/>
    <w:rsid w:val="00773B59"/>
    <w:rsid w:val="00776527"/>
    <w:rsid w:val="0077789F"/>
    <w:rsid w:val="00782109"/>
    <w:rsid w:val="00783633"/>
    <w:rsid w:val="00786058"/>
    <w:rsid w:val="007954C6"/>
    <w:rsid w:val="007A250C"/>
    <w:rsid w:val="007B0BF5"/>
    <w:rsid w:val="007B0CA5"/>
    <w:rsid w:val="007B1871"/>
    <w:rsid w:val="007D0011"/>
    <w:rsid w:val="007D0C34"/>
    <w:rsid w:val="007D4D33"/>
    <w:rsid w:val="007D624B"/>
    <w:rsid w:val="007D79ED"/>
    <w:rsid w:val="007E5A50"/>
    <w:rsid w:val="007F607F"/>
    <w:rsid w:val="007F7DB9"/>
    <w:rsid w:val="0080208E"/>
    <w:rsid w:val="00807C2D"/>
    <w:rsid w:val="00811599"/>
    <w:rsid w:val="00821C6F"/>
    <w:rsid w:val="008400B3"/>
    <w:rsid w:val="008408DC"/>
    <w:rsid w:val="008408DF"/>
    <w:rsid w:val="00846A0F"/>
    <w:rsid w:val="00850CDC"/>
    <w:rsid w:val="00857C0E"/>
    <w:rsid w:val="0086251F"/>
    <w:rsid w:val="008765B4"/>
    <w:rsid w:val="00880018"/>
    <w:rsid w:val="00883E9E"/>
    <w:rsid w:val="008843E0"/>
    <w:rsid w:val="008870DE"/>
    <w:rsid w:val="008906F9"/>
    <w:rsid w:val="008917EB"/>
    <w:rsid w:val="008A6E2D"/>
    <w:rsid w:val="008B47DB"/>
    <w:rsid w:val="008B4C26"/>
    <w:rsid w:val="008B6950"/>
    <w:rsid w:val="008C2AD8"/>
    <w:rsid w:val="008C463B"/>
    <w:rsid w:val="008E069E"/>
    <w:rsid w:val="008E1D41"/>
    <w:rsid w:val="008E2622"/>
    <w:rsid w:val="008F1DD6"/>
    <w:rsid w:val="00910CD9"/>
    <w:rsid w:val="0091310E"/>
    <w:rsid w:val="0092248D"/>
    <w:rsid w:val="00922582"/>
    <w:rsid w:val="009376E1"/>
    <w:rsid w:val="00940464"/>
    <w:rsid w:val="00940919"/>
    <w:rsid w:val="0094247F"/>
    <w:rsid w:val="00947D1E"/>
    <w:rsid w:val="00950F47"/>
    <w:rsid w:val="00953C6B"/>
    <w:rsid w:val="00955641"/>
    <w:rsid w:val="00957936"/>
    <w:rsid w:val="00960D22"/>
    <w:rsid w:val="00965491"/>
    <w:rsid w:val="00975086"/>
    <w:rsid w:val="00981A3C"/>
    <w:rsid w:val="00984A42"/>
    <w:rsid w:val="00985513"/>
    <w:rsid w:val="009867D8"/>
    <w:rsid w:val="00990F86"/>
    <w:rsid w:val="00994025"/>
    <w:rsid w:val="009C6506"/>
    <w:rsid w:val="009D594D"/>
    <w:rsid w:val="009D78B7"/>
    <w:rsid w:val="009D7B09"/>
    <w:rsid w:val="009F70BF"/>
    <w:rsid w:val="00A04B5E"/>
    <w:rsid w:val="00A1310C"/>
    <w:rsid w:val="00A13A12"/>
    <w:rsid w:val="00A24A46"/>
    <w:rsid w:val="00A27937"/>
    <w:rsid w:val="00A37114"/>
    <w:rsid w:val="00A50AEC"/>
    <w:rsid w:val="00A545CF"/>
    <w:rsid w:val="00A80A4A"/>
    <w:rsid w:val="00A8399D"/>
    <w:rsid w:val="00A83F3E"/>
    <w:rsid w:val="00A86FED"/>
    <w:rsid w:val="00A953B5"/>
    <w:rsid w:val="00A95BA1"/>
    <w:rsid w:val="00AB5DD0"/>
    <w:rsid w:val="00AC4200"/>
    <w:rsid w:val="00AC4D9C"/>
    <w:rsid w:val="00AE25D3"/>
    <w:rsid w:val="00AE7A1F"/>
    <w:rsid w:val="00AF067A"/>
    <w:rsid w:val="00B00700"/>
    <w:rsid w:val="00B04B9A"/>
    <w:rsid w:val="00B077BE"/>
    <w:rsid w:val="00B14896"/>
    <w:rsid w:val="00B40C5A"/>
    <w:rsid w:val="00B46DDF"/>
    <w:rsid w:val="00B556B0"/>
    <w:rsid w:val="00B56936"/>
    <w:rsid w:val="00B632BB"/>
    <w:rsid w:val="00B71278"/>
    <w:rsid w:val="00B71EB2"/>
    <w:rsid w:val="00B74241"/>
    <w:rsid w:val="00B803D7"/>
    <w:rsid w:val="00B8728A"/>
    <w:rsid w:val="00B97CE5"/>
    <w:rsid w:val="00BA6E5F"/>
    <w:rsid w:val="00BA7C0E"/>
    <w:rsid w:val="00BB3BDB"/>
    <w:rsid w:val="00BC1209"/>
    <w:rsid w:val="00BC3EB8"/>
    <w:rsid w:val="00BE0408"/>
    <w:rsid w:val="00BE09D5"/>
    <w:rsid w:val="00BE7161"/>
    <w:rsid w:val="00BF4130"/>
    <w:rsid w:val="00BF4285"/>
    <w:rsid w:val="00C02031"/>
    <w:rsid w:val="00C06EA2"/>
    <w:rsid w:val="00C11A93"/>
    <w:rsid w:val="00C135B9"/>
    <w:rsid w:val="00C33AEE"/>
    <w:rsid w:val="00C35AAB"/>
    <w:rsid w:val="00C408AB"/>
    <w:rsid w:val="00C43793"/>
    <w:rsid w:val="00C43A8A"/>
    <w:rsid w:val="00C53A17"/>
    <w:rsid w:val="00C651E8"/>
    <w:rsid w:val="00C655A8"/>
    <w:rsid w:val="00C65929"/>
    <w:rsid w:val="00C65A91"/>
    <w:rsid w:val="00C66EC6"/>
    <w:rsid w:val="00C80FEB"/>
    <w:rsid w:val="00C86548"/>
    <w:rsid w:val="00C91834"/>
    <w:rsid w:val="00C93111"/>
    <w:rsid w:val="00CA0387"/>
    <w:rsid w:val="00CA4219"/>
    <w:rsid w:val="00CB2F3C"/>
    <w:rsid w:val="00CE134E"/>
    <w:rsid w:val="00CE25FE"/>
    <w:rsid w:val="00CF2218"/>
    <w:rsid w:val="00CF6629"/>
    <w:rsid w:val="00D12761"/>
    <w:rsid w:val="00D145CF"/>
    <w:rsid w:val="00D15228"/>
    <w:rsid w:val="00D1522D"/>
    <w:rsid w:val="00D16185"/>
    <w:rsid w:val="00D16CC1"/>
    <w:rsid w:val="00D23C29"/>
    <w:rsid w:val="00D24E98"/>
    <w:rsid w:val="00D314F1"/>
    <w:rsid w:val="00D34555"/>
    <w:rsid w:val="00D40E01"/>
    <w:rsid w:val="00D42900"/>
    <w:rsid w:val="00D430A8"/>
    <w:rsid w:val="00D47A97"/>
    <w:rsid w:val="00D52799"/>
    <w:rsid w:val="00D53D05"/>
    <w:rsid w:val="00D56A07"/>
    <w:rsid w:val="00D57FAF"/>
    <w:rsid w:val="00D61043"/>
    <w:rsid w:val="00D644EA"/>
    <w:rsid w:val="00D65F0B"/>
    <w:rsid w:val="00D724E1"/>
    <w:rsid w:val="00D81C78"/>
    <w:rsid w:val="00D832D2"/>
    <w:rsid w:val="00D87001"/>
    <w:rsid w:val="00DA054C"/>
    <w:rsid w:val="00DA0BA4"/>
    <w:rsid w:val="00DA2708"/>
    <w:rsid w:val="00DA2A76"/>
    <w:rsid w:val="00DB63B5"/>
    <w:rsid w:val="00DD1DDA"/>
    <w:rsid w:val="00DD3CAA"/>
    <w:rsid w:val="00DD5441"/>
    <w:rsid w:val="00DD752F"/>
    <w:rsid w:val="00DE6ED5"/>
    <w:rsid w:val="00DE7E9B"/>
    <w:rsid w:val="00DF18F5"/>
    <w:rsid w:val="00DF52CE"/>
    <w:rsid w:val="00E214F3"/>
    <w:rsid w:val="00E23FF8"/>
    <w:rsid w:val="00E24939"/>
    <w:rsid w:val="00E31B7E"/>
    <w:rsid w:val="00E33ABF"/>
    <w:rsid w:val="00E41D4D"/>
    <w:rsid w:val="00E4504A"/>
    <w:rsid w:val="00E466DB"/>
    <w:rsid w:val="00E54BE8"/>
    <w:rsid w:val="00E579FD"/>
    <w:rsid w:val="00E63155"/>
    <w:rsid w:val="00E64D37"/>
    <w:rsid w:val="00E674AE"/>
    <w:rsid w:val="00E875A7"/>
    <w:rsid w:val="00E87A00"/>
    <w:rsid w:val="00EB2A1B"/>
    <w:rsid w:val="00EB35F1"/>
    <w:rsid w:val="00EB3931"/>
    <w:rsid w:val="00EB69EA"/>
    <w:rsid w:val="00EB70D7"/>
    <w:rsid w:val="00EC3316"/>
    <w:rsid w:val="00ED0E01"/>
    <w:rsid w:val="00ED44DA"/>
    <w:rsid w:val="00ED5F3D"/>
    <w:rsid w:val="00ED7AA8"/>
    <w:rsid w:val="00ED7F24"/>
    <w:rsid w:val="00EE5E5F"/>
    <w:rsid w:val="00EE6A7E"/>
    <w:rsid w:val="00EF117D"/>
    <w:rsid w:val="00F266C2"/>
    <w:rsid w:val="00F3106C"/>
    <w:rsid w:val="00F336F8"/>
    <w:rsid w:val="00F613B5"/>
    <w:rsid w:val="00F66669"/>
    <w:rsid w:val="00F75089"/>
    <w:rsid w:val="00F75E20"/>
    <w:rsid w:val="00F91997"/>
    <w:rsid w:val="00FA030D"/>
    <w:rsid w:val="00FA3EF3"/>
    <w:rsid w:val="00FA554A"/>
    <w:rsid w:val="00FA5550"/>
    <w:rsid w:val="00FB282D"/>
    <w:rsid w:val="00FC4041"/>
    <w:rsid w:val="00FD3186"/>
    <w:rsid w:val="00FD6B37"/>
    <w:rsid w:val="00FE341D"/>
    <w:rsid w:val="00FE575E"/>
    <w:rsid w:val="00FE6695"/>
    <w:rsid w:val="00FF1FB0"/>
    <w:rsid w:val="00FF4A00"/>
    <w:rsid w:val="00FF78D6"/>
    <w:rsid w:val="032235F7"/>
    <w:rsid w:val="03B3ABB9"/>
    <w:rsid w:val="0C503360"/>
    <w:rsid w:val="0F4245BB"/>
    <w:rsid w:val="1322F105"/>
    <w:rsid w:val="19BD69A3"/>
    <w:rsid w:val="282944BC"/>
    <w:rsid w:val="2E0D6972"/>
    <w:rsid w:val="3675070C"/>
    <w:rsid w:val="39671967"/>
    <w:rsid w:val="3F701C43"/>
    <w:rsid w:val="43BD5F29"/>
    <w:rsid w:val="45AC0751"/>
    <w:rsid w:val="49A183DF"/>
    <w:rsid w:val="4A77F090"/>
    <w:rsid w:val="511A888A"/>
    <w:rsid w:val="521DF2BD"/>
    <w:rsid w:val="53F7C9A1"/>
    <w:rsid w:val="606195B1"/>
    <w:rsid w:val="618518AD"/>
    <w:rsid w:val="69431447"/>
    <w:rsid w:val="6AFCD262"/>
    <w:rsid w:val="6C9773D3"/>
    <w:rsid w:val="6FD0DAFD"/>
    <w:rsid w:val="71E3C9D3"/>
    <w:rsid w:val="79186F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5D80"/>
  <w15:docId w15:val="{EAA3DCCC-4B36-4DF3-86B5-6407127B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rPr>
      <w:lang w:val="en-GB"/>
    </w:rPr>
  </w:style>
  <w:style w:type="paragraph" w:styleId="Heading1">
    <w:name w:val="heading 1"/>
    <w:basedOn w:val="Normal"/>
    <w:next w:val="Normal"/>
    <w:link w:val="Heading1Char"/>
    <w:uiPriority w:val="9"/>
    <w:qFormat/>
    <w:rsid w:val="00753E66"/>
    <w:pPr>
      <w:pBdr>
        <w:top w:val="single" w:sz="24" w:space="0" w:color="auto"/>
        <w:left w:val="single" w:sz="24" w:space="0" w:color="auto"/>
        <w:bottom w:val="single" w:sz="24" w:space="0" w:color="auto"/>
        <w:right w:val="single" w:sz="24" w:space="0" w:color="auto"/>
      </w:pBdr>
      <w:shd w:val="clear" w:color="auto" w:fill="020202"/>
      <w:spacing w:after="0"/>
      <w:outlineLvl w:val="0"/>
    </w:pPr>
    <w:rPr>
      <w:rFonts w:ascii="Calibri" w:eastAsiaTheme="majorEastAsia" w:hAnsi="Calibr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66"/>
    <w:rPr>
      <w:rFonts w:ascii="Calibri" w:eastAsiaTheme="majorEastAsia" w:hAnsi="Calibri" w:cstheme="majorBidi"/>
      <w:caps/>
      <w:color w:val="FFFFFF" w:themeColor="background1"/>
      <w:spacing w:val="15"/>
      <w:shd w:val="clear" w:color="auto" w:fill="020202"/>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pPr>
      <w:spacing w:line="240" w:lineRule="auto"/>
    </w:pPr>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nhideWhenUsed/>
    <w:qFormat/>
    <w:rsid w:val="00FE6695"/>
    <w:pPr>
      <w:ind w:left="720"/>
      <w:contextualSpacing/>
    </w:pPr>
  </w:style>
  <w:style w:type="character" w:styleId="Hyperlink">
    <w:name w:val="Hyperlink"/>
    <w:basedOn w:val="DefaultParagraphFont"/>
    <w:uiPriority w:val="99"/>
    <w:unhideWhenUsed/>
    <w:rsid w:val="00C06EA2"/>
    <w:rPr>
      <w:color w:val="005DBA" w:themeColor="hyperlink"/>
      <w:u w:val="single"/>
    </w:rPr>
  </w:style>
  <w:style w:type="character" w:customStyle="1" w:styleId="UnresolvedMention1">
    <w:name w:val="Unresolved Mention1"/>
    <w:basedOn w:val="DefaultParagraphFont"/>
    <w:uiPriority w:val="99"/>
    <w:semiHidden/>
    <w:unhideWhenUsed/>
    <w:rsid w:val="00C06EA2"/>
    <w:rPr>
      <w:color w:val="808080"/>
      <w:shd w:val="clear" w:color="auto" w:fill="E6E6E6"/>
    </w:rPr>
  </w:style>
  <w:style w:type="paragraph" w:styleId="BodyTextIndent">
    <w:name w:val="Body Text Indent"/>
    <w:basedOn w:val="Normal"/>
    <w:link w:val="BodyTextIndentChar"/>
    <w:rsid w:val="001340F7"/>
    <w:pPr>
      <w:spacing w:before="0" w:after="120" w:line="240" w:lineRule="auto"/>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1340F7"/>
    <w:rPr>
      <w:rFonts w:ascii="Times New Roman" w:eastAsia="Times New Roman" w:hAnsi="Times New Roman" w:cs="Times New Roman"/>
      <w:sz w:val="20"/>
      <w:szCs w:val="20"/>
      <w:lang w:val="en-GB" w:eastAsia="en-US"/>
    </w:rPr>
  </w:style>
  <w:style w:type="paragraph" w:customStyle="1" w:styleId="Default">
    <w:name w:val="Default"/>
    <w:rsid w:val="004E57DE"/>
    <w:pPr>
      <w:autoSpaceDE w:val="0"/>
      <w:autoSpaceDN w:val="0"/>
      <w:adjustRightInd w:val="0"/>
      <w:spacing w:before="0" w:after="0" w:line="240" w:lineRule="auto"/>
    </w:pPr>
    <w:rPr>
      <w:rFonts w:ascii="Times New Roman" w:eastAsia="Times New Roman" w:hAnsi="Times New Roman" w:cs="Times New Roman"/>
      <w:color w:val="000000"/>
      <w:sz w:val="24"/>
      <w:szCs w:val="24"/>
      <w:lang w:val="en-GB" w:eastAsia="en-GB"/>
    </w:rPr>
  </w:style>
  <w:style w:type="paragraph" w:customStyle="1" w:styleId="Paragraph">
    <w:name w:val="Paragraph"/>
    <w:basedOn w:val="Heading2"/>
    <w:rsid w:val="002039BB"/>
    <w:pPr>
      <w:numPr>
        <w:ilvl w:val="1"/>
      </w:numPr>
      <w:pBdr>
        <w:top w:val="none" w:sz="0" w:space="0" w:color="auto"/>
        <w:left w:val="none" w:sz="0" w:space="0" w:color="auto"/>
        <w:bottom w:val="none" w:sz="0" w:space="0" w:color="auto"/>
        <w:right w:val="none" w:sz="0" w:space="0" w:color="auto"/>
      </w:pBdr>
      <w:shd w:val="clear" w:color="auto" w:fill="auto"/>
      <w:tabs>
        <w:tab w:val="num" w:pos="720"/>
      </w:tabs>
      <w:spacing w:before="0" w:after="240" w:line="240" w:lineRule="auto"/>
      <w:ind w:left="720" w:hanging="720"/>
    </w:pPr>
    <w:rPr>
      <w:rFonts w:ascii="Arial" w:eastAsia="Times New Roman" w:hAnsi="Arial" w:cs="Times New Roman"/>
      <w:caps w:val="0"/>
      <w:spacing w:val="0"/>
      <w:sz w:val="24"/>
      <w:szCs w:val="20"/>
      <w:lang w:eastAsia="en-US"/>
    </w:rPr>
  </w:style>
  <w:style w:type="paragraph" w:customStyle="1" w:styleId="NumberedParagraph">
    <w:name w:val="Numbered Paragraph"/>
    <w:basedOn w:val="Heading2"/>
    <w:rsid w:val="002039BB"/>
    <w:pPr>
      <w:keepNext/>
      <w:pBdr>
        <w:top w:val="none" w:sz="0" w:space="0" w:color="auto"/>
        <w:left w:val="none" w:sz="0" w:space="0" w:color="auto"/>
        <w:bottom w:val="none" w:sz="0" w:space="0" w:color="auto"/>
        <w:right w:val="none" w:sz="0" w:space="0" w:color="auto"/>
      </w:pBdr>
      <w:shd w:val="clear" w:color="auto" w:fill="auto"/>
      <w:tabs>
        <w:tab w:val="num" w:pos="720"/>
      </w:tabs>
      <w:spacing w:before="0" w:line="240" w:lineRule="auto"/>
    </w:pPr>
    <w:rPr>
      <w:rFonts w:ascii="Arial" w:eastAsia="Times New Roman" w:hAnsi="Arial" w:cs="Arial"/>
      <w:caps w:val="0"/>
      <w:spacing w:val="0"/>
      <w:sz w:val="24"/>
      <w:szCs w:val="24"/>
      <w:lang w:eastAsia="en-US"/>
    </w:rPr>
  </w:style>
  <w:style w:type="paragraph" w:customStyle="1" w:styleId="text">
    <w:name w:val="text"/>
    <w:basedOn w:val="Normal"/>
    <w:rsid w:val="002039BB"/>
    <w:pPr>
      <w:spacing w:before="100" w:beforeAutospacing="1" w:after="100" w:afterAutospacing="1" w:line="240" w:lineRule="auto"/>
    </w:pPr>
    <w:rPr>
      <w:rFonts w:ascii="Arial" w:eastAsia="Times New Roman" w:hAnsi="Arial" w:cs="Arial"/>
      <w:color w:val="666666"/>
      <w:sz w:val="20"/>
      <w:szCs w:val="20"/>
      <w:lang w:eastAsia="en-GB"/>
    </w:rPr>
  </w:style>
  <w:style w:type="character" w:styleId="FollowedHyperlink">
    <w:name w:val="FollowedHyperlink"/>
    <w:basedOn w:val="DefaultParagraphFont"/>
    <w:uiPriority w:val="99"/>
    <w:semiHidden/>
    <w:unhideWhenUsed/>
    <w:rsid w:val="0012029C"/>
    <w:rPr>
      <w:color w:val="6C606A" w:themeColor="followedHyperlink"/>
      <w:u w:val="single"/>
    </w:rPr>
  </w:style>
  <w:style w:type="paragraph" w:styleId="Revision">
    <w:name w:val="Revision"/>
    <w:hidden/>
    <w:uiPriority w:val="99"/>
    <w:semiHidden/>
    <w:rsid w:val="002B37D5"/>
    <w:pPr>
      <w:spacing w:before="0" w:after="0" w:line="240" w:lineRule="auto"/>
    </w:pPr>
    <w:rPr>
      <w:lang w:val="en-GB"/>
    </w:rPr>
  </w:style>
  <w:style w:type="paragraph" w:styleId="BodyTextIndent2">
    <w:name w:val="Body Text Indent 2"/>
    <w:basedOn w:val="Normal"/>
    <w:link w:val="BodyTextIndent2Char"/>
    <w:uiPriority w:val="99"/>
    <w:semiHidden/>
    <w:unhideWhenUsed/>
    <w:rsid w:val="00BA7C0E"/>
    <w:pPr>
      <w:spacing w:after="120" w:line="480" w:lineRule="auto"/>
      <w:ind w:left="283"/>
    </w:pPr>
  </w:style>
  <w:style w:type="character" w:customStyle="1" w:styleId="BodyTextIndent2Char">
    <w:name w:val="Body Text Indent 2 Char"/>
    <w:basedOn w:val="DefaultParagraphFont"/>
    <w:link w:val="BodyTextIndent2"/>
    <w:uiPriority w:val="99"/>
    <w:semiHidden/>
    <w:rsid w:val="00BA7C0E"/>
    <w:rPr>
      <w:lang w:val="en-GB"/>
    </w:rPr>
  </w:style>
  <w:style w:type="paragraph" w:styleId="BodyText">
    <w:name w:val="Body Text"/>
    <w:basedOn w:val="Normal"/>
    <w:link w:val="BodyTextChar"/>
    <w:uiPriority w:val="99"/>
    <w:semiHidden/>
    <w:unhideWhenUsed/>
    <w:rsid w:val="00BA7C0E"/>
    <w:pPr>
      <w:spacing w:after="120"/>
    </w:pPr>
  </w:style>
  <w:style w:type="character" w:customStyle="1" w:styleId="BodyTextChar">
    <w:name w:val="Body Text Char"/>
    <w:basedOn w:val="DefaultParagraphFont"/>
    <w:link w:val="BodyText"/>
    <w:uiPriority w:val="99"/>
    <w:semiHidden/>
    <w:rsid w:val="00BA7C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66959534">
      <w:bodyDiv w:val="1"/>
      <w:marLeft w:val="0"/>
      <w:marRight w:val="0"/>
      <w:marTop w:val="0"/>
      <w:marBottom w:val="0"/>
      <w:divBdr>
        <w:top w:val="none" w:sz="0" w:space="0" w:color="auto"/>
        <w:left w:val="none" w:sz="0" w:space="0" w:color="auto"/>
        <w:bottom w:val="none" w:sz="0" w:space="0" w:color="auto"/>
        <w:right w:val="none" w:sz="0" w:space="0" w:color="auto"/>
      </w:divBdr>
    </w:div>
    <w:div w:id="61579825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2563108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8623822">
      <w:bodyDiv w:val="1"/>
      <w:marLeft w:val="0"/>
      <w:marRight w:val="0"/>
      <w:marTop w:val="0"/>
      <w:marBottom w:val="0"/>
      <w:divBdr>
        <w:top w:val="none" w:sz="0" w:space="0" w:color="auto"/>
        <w:left w:val="none" w:sz="0" w:space="0" w:color="auto"/>
        <w:bottom w:val="none" w:sz="0" w:space="0" w:color="auto"/>
        <w:right w:val="none" w:sz="0" w:space="0" w:color="auto"/>
      </w:divBdr>
    </w:div>
    <w:div w:id="125628564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381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pffor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lkirk.gov.uk/coins/committee.asp?bodyid=238&amp;bodytitle=Pensions+Commit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sab.scot/fiduciary-duty-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EE393B269EA45B60837ADEB4F62DF" ma:contentTypeVersion="18" ma:contentTypeDescription="Create a new document." ma:contentTypeScope="" ma:versionID="4ff88ff427eca70eab67388c182edbf1">
  <xsd:schema xmlns:xsd="http://www.w3.org/2001/XMLSchema" xmlns:xs="http://www.w3.org/2001/XMLSchema" xmlns:p="http://schemas.microsoft.com/office/2006/metadata/properties" xmlns:ns2="bfa66a4b-e099-4865-9fba-612bd7c3b784" xmlns:ns3="92d1afa3-cf37-4317-a83f-65913fd63a1e" targetNamespace="http://schemas.microsoft.com/office/2006/metadata/properties" ma:root="true" ma:fieldsID="4b4019815da12dd8ca49318fbc4bc4fd" ns2:_="" ns3:_="">
    <xsd:import namespace="bfa66a4b-e099-4865-9fba-612bd7c3b784"/>
    <xsd:import namespace="92d1afa3-cf37-4317-a83f-65913fd63a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Date_x002f_Time" minOccurs="0"/>
                <xsd:element ref="ns2:DateandTim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6a4b-e099-4865-9fba-612bd7c3b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Date_x002f_Time" ma:index="20" nillable="true" ma:displayName="Date/Time" ma:format="DateOnly" ma:internalName="Date_x002f_Time">
      <xsd:simpleType>
        <xsd:restriction base="dms:DateTime"/>
      </xsd:simpleType>
    </xsd:element>
    <xsd:element name="DateandTime" ma:index="21" nillable="true" ma:displayName="Date and Time" ma:format="DateTime" ma:internalName="DateandTime">
      <xsd:simpleType>
        <xsd:restriction base="dms:DateTime"/>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edd4d4-b82f-4290-8f35-91ebfd4a0f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d1afa3-cf37-4317-a83f-65913fd63a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dc3fb1e-20b6-47c3-8272-90a0deb83918}" ma:internalName="TaxCatchAll" ma:showField="CatchAllData" ma:web="92d1afa3-cf37-4317-a83f-65913fd63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d1afa3-cf37-4317-a83f-65913fd63a1e" xsi:nil="true"/>
    <lcf76f155ced4ddcb4097134ff3c332f xmlns="bfa66a4b-e099-4865-9fba-612bd7c3b784">
      <Terms xmlns="http://schemas.microsoft.com/office/infopath/2007/PartnerControls"/>
    </lcf76f155ced4ddcb4097134ff3c332f>
    <DateandTime xmlns="bfa66a4b-e099-4865-9fba-612bd7c3b784" xsi:nil="true"/>
    <Date_x002f_Time xmlns="bfa66a4b-e099-4865-9fba-612bd7c3b784"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E991E941-C9DB-431E-8443-86B18F94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6a4b-e099-4865-9fba-612bd7c3b784"/>
    <ds:schemaRef ds:uri="92d1afa3-cf37-4317-a83f-65913fd63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98C7A-A962-4B29-8E8B-00173B3C940D}">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92d1afa3-cf37-4317-a83f-65913fd63a1e"/>
    <ds:schemaRef ds:uri="bfa66a4b-e099-4865-9fba-612bd7c3b784"/>
  </ds:schemaRefs>
</ds:datastoreItem>
</file>

<file path=customXml/itemProps4.xml><?xml version="1.0" encoding="utf-8"?>
<ds:datastoreItem xmlns:ds="http://schemas.openxmlformats.org/officeDocument/2006/customXml" ds:itemID="{371A3960-65E4-4C5F-AD13-F3B82144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6345</Words>
  <Characters>36172</Characters>
  <Application>Microsoft Office Word</Application>
  <DocSecurity>0</DocSecurity>
  <Lines>301</Lines>
  <Paragraphs>84</Paragraphs>
  <ScaleCrop>false</ScaleCrop>
  <HeadingPairs>
    <vt:vector size="4" baseType="variant">
      <vt:variant>
        <vt:lpstr>Title</vt:lpstr>
      </vt:variant>
      <vt:variant>
        <vt:i4>1</vt:i4>
      </vt:variant>
      <vt:variant>
        <vt:lpstr>Headings</vt:lpstr>
      </vt:variant>
      <vt:variant>
        <vt:i4>80</vt:i4>
      </vt:variant>
    </vt:vector>
  </HeadingPairs>
  <TitlesOfParts>
    <vt:vector size="81" baseType="lpstr">
      <vt:lpstr/>
      <vt:lpstr>FALKIRK COUNCIL PENSION FUND </vt:lpstr>
      <vt:lpstr>1. Introduction</vt:lpstr>
      <vt:lpstr>2. governance</vt:lpstr>
      <vt:lpstr>3. HIGH LEVEL INVESTMent PRINCIPLES</vt:lpstr>
      <vt:lpstr>4. responsible investment </vt:lpstr>
      <vt:lpstr>5. FUND objectives</vt:lpstr>
      <vt:lpstr>6. FUND strategY and IMplementation</vt:lpstr>
      <vt:lpstr>7. other investment considerations</vt:lpstr>
      <vt:lpstr>78. compliance</vt:lpstr>
      <vt:lpstr>appendix a – investment strategY (25 August 2022)</vt:lpstr>
      <vt:lpstr>appendix b: investment strategy implementation (25 august 2022)</vt:lpstr>
      <vt:lpstr>appendix c – STEWARDSHIP statement</vt:lpstr>
      <vt:lpstr>    We acknowledge our role as an asset owner under the UK Stewardship Code and seek</vt:lpstr>
      <vt:lpstr>    </vt:lpstr>
      <vt:lpstr>    appointment of EOS;</vt:lpstr>
      <vt:lpstr>    membership of the Local Authority Pension Fund Forum (LAPFF); </vt:lpstr>
      <vt:lpstr>    work of our external investment managers;</vt:lpstr>
      <vt:lpstr>    participation in class actions; and</vt:lpstr>
      <vt:lpstr>    work of the internal team.</vt:lpstr>
      <vt:lpstr>    </vt:lpstr>
      <vt:lpstr>    We believe that this combination enables us to provide the appropriate standards</vt:lpstr>
      <vt:lpstr>    </vt:lpstr>
      <vt:lpstr>    Through our engagement of EOS and our membership of LAPFF, we keep informed of p</vt:lpstr>
      <vt:lpstr>    The Fund has a Conflicts of Interest policy which explains the responsibilities </vt:lpstr>
      <vt:lpstr>    We also encourage the asset managers employed by the Fund’s to have effective po</vt:lpstr>
      <vt:lpstr>    Our policy of constructive engagement with companies is consistent with the Fund</vt:lpstr>
      <vt:lpstr>    We expect them to monitor companies, intervene where necessary, and report back </vt:lpstr>
      <vt:lpstr>    Activity is reported by means of publicly available papers submitted to the Comm</vt:lpstr>
      <vt:lpstr>    As highlighted above, responsibility for interaction with companies is shared wi</vt:lpstr>
      <vt:lpstr>    We expect the approach to engagement on our behalf to be value-orientated and fo</vt:lpstr>
      <vt:lpstr>    EOS monitors the activity of many of our investee companies and escalate engagem</vt:lpstr>
      <vt:lpstr>    We may also propose escalation of activity through our membership of the LAPFF</vt:lpstr>
      <vt:lpstr>    Consistent with our fiduciary duty to beneficiaries and in order to encourage im</vt:lpstr>
      <vt:lpstr>    </vt:lpstr>
      <vt:lpstr>    </vt:lpstr>
      <vt:lpstr>    </vt:lpstr>
      <vt:lpstr>    We seek to work collaboratively with other institutional shareholders in order t</vt:lpstr>
      <vt:lpstr>    membership of the Local Authority Pension Fund Forum (LAPFF), which is a collabo</vt:lpstr>
      <vt:lpstr>    The Fund retains the right to direct EOS or a manager in a particular way in res</vt:lpstr>
      <vt:lpstr>    We report annually on stewardship and voting activity in the Fund’s annual repor</vt:lpstr>
      <vt:lpstr>    We seek to disclose our historic voting information through the Falkirk Council </vt:lpstr>
      <vt:lpstr>    We also report annually on stewardship and voting activity directly to the quart</vt:lpstr>
      <vt:lpstr>appendix D – CIPFA Principles for investment decision making and disclosure</vt:lpstr>
      <vt:lpstr>    The Fund’s Training Policy (comprising a compulsory training seminar for all new</vt:lpstr>
      <vt:lpstr>    The Pensions Committee focuses on setting the strategy for the Fund and monitori</vt:lpstr>
      <vt:lpstr>    The Chief Finance Officer, supported by the Pensions Manager, is responsible for</vt:lpstr>
      <vt:lpstr>    The Joint Investment Forum Strategy Panel advises the Chief Finance Officer on t</vt:lpstr>
      <vt:lpstr>    The in-house team undertakes day-to-day monitoring of the Fund. The team include</vt:lpstr>
      <vt:lpstr>    Conflicts of interest are managed actively. At each Committee meeting, elected m</vt:lpstr>
      <vt:lpstr>    The Statement of Investment Principles and the Funding Strategy Statement define</vt:lpstr>
      <vt:lpstr>    Asset-liability modelling is undertaken with the help of external advisers to ai</vt:lpstr>
      <vt:lpstr>    Reviews of investment strategy focus on the split between broad asset classes (e</vt:lpstr>
      <vt:lpstr>    Investment Management Agreements set clear benchmarks and risk parameters and in</vt:lpstr>
      <vt:lpstr>    Appointments of advisers are reviewed regularly. Investment and actuarial advise</vt:lpstr>
      <vt:lpstr>    The setting of the Funding Strategy includes specific consideration of the desir</vt:lpstr>
      <vt:lpstr>    The Fund takes advice from the schemeFund’s  actuary regarding the nature of its</vt:lpstr>
      <vt:lpstr>    The Funding objective for the Fund are expressed in relation to the solvency and</vt:lpstr>
      <vt:lpstr>    The Chief Finance Officer is responsible for ensuring the appropriate controls o</vt:lpstr>
      <vt:lpstr>    The Fund maintains a Risk Register, which is formally reviewed twice per year wi</vt:lpstr>
      <vt:lpstr>    The Fund’s performance and risk analysis is produced by an independent external </vt:lpstr>
      <vt:lpstr>    The internal investment team monitors the external investment managers’ performa</vt:lpstr>
      <vt:lpstr>    The Fund’s contracts with its advisers are regularly market tested.  </vt:lpstr>
      <vt:lpstr>    The Joint Investment Forum Strategy Panel assesses its own performance on a regu</vt:lpstr>
      <vt:lpstr>    Training and attendance of members of the Pensions Committee and the Pensions Bo</vt:lpstr>
      <vt:lpstr>    </vt:lpstr>
      <vt:lpstr>    The Fund’s approach to responsible investment is described in the Statement of I</vt:lpstr>
      <vt:lpstr>    </vt:lpstr>
      <vt:lpstr>    Details of voting and engagement are provided to the Committee and Board at quar</vt:lpstr>
      <vt:lpstr>    The Fund’s annual report and accounts also includes a summary of the Fund’s appr</vt:lpstr>
      <vt:lpstr>    Meetings of the Pensions Committee are open to the public.  Members of the publi</vt:lpstr>
      <vt:lpstr>    The Committee’s remit covers wider pension scheme issues, in addition to the man</vt:lpstr>
      <vt:lpstr>    The Fund’s policy statements, including the Statement of Investment Principles, </vt:lpstr>
      <vt:lpstr>    The Fund produces an Annual Report &amp; Accounts.  The full report is available on </vt:lpstr>
      <vt:lpstr>    </vt:lpstr>
      <vt:lpstr>    </vt:lpstr>
      <vt:lpstr>    </vt:lpstr>
      <vt:lpstr>    </vt:lpstr>
      <vt:lpstr>    Chief Finance Officer</vt:lpstr>
      <vt:lpstr>    Falkirk Council </vt:lpstr>
      <vt:lpstr>    25 August 202214 March 2024</vt:lpstr>
    </vt:vector>
  </TitlesOfParts>
  <Company/>
  <LinksUpToDate>false</LinksUpToDate>
  <CharactersWithSpaces>42433</CharactersWithSpaces>
  <SharedDoc>false</SharedDoc>
  <HLinks>
    <vt:vector size="30" baseType="variant">
      <vt:variant>
        <vt:i4>1507331</vt:i4>
      </vt:variant>
      <vt:variant>
        <vt:i4>15</vt:i4>
      </vt:variant>
      <vt:variant>
        <vt:i4>0</vt:i4>
      </vt:variant>
      <vt:variant>
        <vt:i4>5</vt:i4>
      </vt:variant>
      <vt:variant>
        <vt:lpwstr>http://www.falkirkpensionfund.org/falkirk-council-pension-fund/about-us/who-runs-the-pension-fund</vt:lpwstr>
      </vt:variant>
      <vt:variant>
        <vt:lpwstr/>
      </vt:variant>
      <vt:variant>
        <vt:i4>2752561</vt:i4>
      </vt:variant>
      <vt:variant>
        <vt:i4>12</vt:i4>
      </vt:variant>
      <vt:variant>
        <vt:i4>0</vt:i4>
      </vt:variant>
      <vt:variant>
        <vt:i4>5</vt:i4>
      </vt:variant>
      <vt:variant>
        <vt:lpwstr>http://www.falkirkpensionfund.org/falkirk-council-pension-fund/about-us/forms-and-publications</vt:lpwstr>
      </vt:variant>
      <vt:variant>
        <vt:lpwstr/>
      </vt:variant>
      <vt:variant>
        <vt:i4>4587537</vt:i4>
      </vt:variant>
      <vt:variant>
        <vt:i4>6</vt:i4>
      </vt:variant>
      <vt:variant>
        <vt:i4>0</vt:i4>
      </vt:variant>
      <vt:variant>
        <vt:i4>5</vt:i4>
      </vt:variant>
      <vt:variant>
        <vt:lpwstr>http://www.lapfforum.org/</vt:lpwstr>
      </vt:variant>
      <vt:variant>
        <vt:lpwstr/>
      </vt:variant>
      <vt:variant>
        <vt:i4>2490492</vt:i4>
      </vt:variant>
      <vt:variant>
        <vt:i4>3</vt:i4>
      </vt:variant>
      <vt:variant>
        <vt:i4>0</vt:i4>
      </vt:variant>
      <vt:variant>
        <vt:i4>5</vt:i4>
      </vt:variant>
      <vt:variant>
        <vt:lpwstr>https://falkirkpensionfund.org/falkirk-council-pension-fund/about-us/who-runs-the-pension-fund/</vt:lpwstr>
      </vt:variant>
      <vt:variant>
        <vt:lpwstr/>
      </vt:variant>
      <vt:variant>
        <vt:i4>5308506</vt:i4>
      </vt:variant>
      <vt:variant>
        <vt:i4>0</vt:i4>
      </vt:variant>
      <vt:variant>
        <vt:i4>0</vt:i4>
      </vt:variant>
      <vt:variant>
        <vt:i4>5</vt:i4>
      </vt:variant>
      <vt:variant>
        <vt:lpwstr>https://lgpsab.scot/fiduciary-duty-guidance/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Miller</dc:creator>
  <cp:lastModifiedBy>Catherine Carruthers</cp:lastModifiedBy>
  <cp:revision>2</cp:revision>
  <cp:lastPrinted>2019-03-06T08:47:00Z</cp:lastPrinted>
  <dcterms:created xsi:type="dcterms:W3CDTF">2024-03-15T08:47:00Z</dcterms:created>
  <dcterms:modified xsi:type="dcterms:W3CDTF">2024-03-15T08:47:00Z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0x0101006E8EE393B269EA45B60837ADEB4F62DF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_NewReviewCycle">
    <vt:lpwstr/>
  </property>
  <property fmtid="{D5CDD505-2E9C-101B-9397-08002B2CF9AE}" pid="9" name="MediaServiceImageTags">
    <vt:lpwstr/>
  </property>
</Properties>
</file>