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A650" w14:textId="2C26F57A" w:rsidR="003677AB" w:rsidRPr="00C22078" w:rsidRDefault="00770126" w:rsidP="003677AB">
      <w:pPr>
        <w:pStyle w:val="Heading1"/>
        <w:rPr>
          <w:color w:val="646464" w:themeColor="accent5"/>
        </w:rPr>
      </w:pPr>
      <w:bookmarkStart w:id="0" w:name="_Toc16078775"/>
      <w:bookmarkStart w:id="1" w:name="_Toc86052000"/>
      <w:r>
        <w:rPr>
          <w:color w:val="646464" w:themeColor="accent5"/>
        </w:rPr>
        <w:t>Falkirk</w:t>
      </w:r>
      <w:r w:rsidR="00A9456C">
        <w:rPr>
          <w:color w:val="646464" w:themeColor="accent5"/>
        </w:rPr>
        <w:t xml:space="preserve"> Council</w:t>
      </w:r>
      <w:r w:rsidR="003009A1">
        <w:rPr>
          <w:color w:val="646464" w:themeColor="accent5"/>
        </w:rPr>
        <w:t xml:space="preserve"> Pension Fund</w:t>
      </w:r>
    </w:p>
    <w:p w14:paraId="0F9E231B" w14:textId="71C9EBD2" w:rsidR="003677AB" w:rsidRDefault="00DC20CF" w:rsidP="003677AB">
      <w:pPr>
        <w:pStyle w:val="Heading1"/>
        <w:rPr>
          <w:color w:val="646464" w:themeColor="accent5"/>
        </w:rPr>
      </w:pPr>
      <w:bookmarkStart w:id="2" w:name="_Cessation_policy"/>
      <w:bookmarkEnd w:id="2"/>
      <w:r>
        <w:rPr>
          <w:color w:val="646464" w:themeColor="accent5"/>
        </w:rPr>
        <w:t>Policy on c</w:t>
      </w:r>
      <w:r w:rsidR="006F48DC">
        <w:rPr>
          <w:color w:val="646464" w:themeColor="accent5"/>
        </w:rPr>
        <w:t>essation</w:t>
      </w:r>
      <w:r>
        <w:rPr>
          <w:color w:val="646464" w:themeColor="accent5"/>
        </w:rPr>
        <w:t>s</w:t>
      </w:r>
    </w:p>
    <w:tbl>
      <w:tblPr>
        <w:tblStyle w:val="TableGrid"/>
        <w:tblW w:w="0" w:type="auto"/>
        <w:tblLayout w:type="fixed"/>
        <w:tblLook w:val="04A0" w:firstRow="1" w:lastRow="0" w:firstColumn="1" w:lastColumn="0" w:noHBand="0" w:noVBand="1"/>
      </w:tblPr>
      <w:tblGrid>
        <w:gridCol w:w="3425"/>
        <w:gridCol w:w="3250"/>
      </w:tblGrid>
      <w:tr w:rsidR="003677AB" w14:paraId="2055E73F" w14:textId="77777777" w:rsidTr="00527BE4">
        <w:trPr>
          <w:trHeight w:val="301"/>
        </w:trPr>
        <w:tc>
          <w:tcPr>
            <w:tcW w:w="3425" w:type="dxa"/>
          </w:tcPr>
          <w:p w14:paraId="40B586B2" w14:textId="77777777" w:rsidR="003677AB" w:rsidRPr="007C2164" w:rsidRDefault="003677AB" w:rsidP="00527BE4">
            <w:pPr>
              <w:pStyle w:val="BodyTextGrey"/>
              <w:spacing w:after="0" w:line="240" w:lineRule="auto"/>
            </w:pPr>
            <w:bookmarkStart w:id="3" w:name="_Toc110352043"/>
            <w:bookmarkStart w:id="4" w:name="_Toc110352068"/>
            <w:bookmarkStart w:id="5" w:name="_Toc110352133"/>
            <w:r w:rsidRPr="007C2164">
              <w:t>Effective date of policy</w:t>
            </w:r>
            <w:bookmarkEnd w:id="3"/>
            <w:bookmarkEnd w:id="4"/>
            <w:bookmarkEnd w:id="5"/>
          </w:p>
        </w:tc>
        <w:tc>
          <w:tcPr>
            <w:tcW w:w="3250" w:type="dxa"/>
          </w:tcPr>
          <w:p w14:paraId="0EFD23DF" w14:textId="78289B13" w:rsidR="003677AB" w:rsidRPr="0096731D" w:rsidRDefault="0096731D" w:rsidP="00527BE4">
            <w:pPr>
              <w:pStyle w:val="BodyTextGrey"/>
              <w:spacing w:after="0" w:line="240" w:lineRule="auto"/>
            </w:pPr>
            <w:r>
              <w:t>14 March 2024</w:t>
            </w:r>
          </w:p>
        </w:tc>
      </w:tr>
      <w:tr w:rsidR="003677AB" w14:paraId="66514F18" w14:textId="77777777" w:rsidTr="009D79D5">
        <w:trPr>
          <w:trHeight w:val="1547"/>
        </w:trPr>
        <w:tc>
          <w:tcPr>
            <w:tcW w:w="3425" w:type="dxa"/>
          </w:tcPr>
          <w:p w14:paraId="1A952F6F" w14:textId="73402A64" w:rsidR="003677AB" w:rsidRPr="007C2164" w:rsidRDefault="003677AB" w:rsidP="00527BE4">
            <w:pPr>
              <w:pStyle w:val="BodyTextGrey"/>
              <w:spacing w:after="0" w:line="240" w:lineRule="auto"/>
            </w:pPr>
            <w:bookmarkStart w:id="6" w:name="_Toc110352044"/>
            <w:bookmarkStart w:id="7" w:name="_Toc110352069"/>
            <w:bookmarkStart w:id="8" w:name="_Toc110352134"/>
            <w:r w:rsidRPr="007C2164">
              <w:t>Date approved</w:t>
            </w:r>
            <w:bookmarkEnd w:id="6"/>
            <w:bookmarkEnd w:id="7"/>
            <w:bookmarkEnd w:id="8"/>
          </w:p>
        </w:tc>
        <w:tc>
          <w:tcPr>
            <w:tcW w:w="3250" w:type="dxa"/>
          </w:tcPr>
          <w:p w14:paraId="68497D1A" w14:textId="62851644" w:rsidR="003677AB" w:rsidRPr="007C2164" w:rsidRDefault="0096731D" w:rsidP="00527BE4">
            <w:pPr>
              <w:pStyle w:val="BodyTextGrey"/>
              <w:spacing w:after="0" w:line="240" w:lineRule="auto"/>
            </w:pPr>
            <w:r>
              <w:t>14 March 2024</w:t>
            </w:r>
          </w:p>
        </w:tc>
      </w:tr>
      <w:tr w:rsidR="003677AB" w14:paraId="09D15610" w14:textId="77777777" w:rsidTr="00527BE4">
        <w:trPr>
          <w:trHeight w:val="301"/>
        </w:trPr>
        <w:tc>
          <w:tcPr>
            <w:tcW w:w="3425" w:type="dxa"/>
          </w:tcPr>
          <w:p w14:paraId="58544733" w14:textId="45FADD93" w:rsidR="003677AB" w:rsidRPr="007C2164" w:rsidRDefault="003677AB" w:rsidP="00527BE4">
            <w:pPr>
              <w:pStyle w:val="BodyTextGrey"/>
              <w:spacing w:after="0" w:line="240" w:lineRule="auto"/>
            </w:pPr>
            <w:bookmarkStart w:id="9" w:name="_Toc110352070"/>
            <w:bookmarkStart w:id="10" w:name="_Toc110352135"/>
            <w:r w:rsidRPr="007C2164">
              <w:t>Next review</w:t>
            </w:r>
            <w:bookmarkEnd w:id="9"/>
            <w:bookmarkEnd w:id="10"/>
          </w:p>
        </w:tc>
        <w:tc>
          <w:tcPr>
            <w:tcW w:w="3250" w:type="dxa"/>
          </w:tcPr>
          <w:p w14:paraId="343C568E" w14:textId="6B2FC8BB" w:rsidR="003677AB" w:rsidRPr="0096731D" w:rsidRDefault="0096731D" w:rsidP="00527BE4">
            <w:pPr>
              <w:pStyle w:val="BodyTextGrey"/>
              <w:spacing w:after="0" w:line="240" w:lineRule="auto"/>
            </w:pPr>
            <w:r>
              <w:t>2027</w:t>
            </w:r>
          </w:p>
        </w:tc>
      </w:tr>
    </w:tbl>
    <w:p w14:paraId="659C4EC7" w14:textId="555A1BFA" w:rsidR="00EA5AE2" w:rsidRPr="005C24AE" w:rsidRDefault="00D862C0" w:rsidP="005C24AE">
      <w:pPr>
        <w:pStyle w:val="Heading1Num"/>
      </w:pPr>
      <w:r w:rsidRPr="005C24AE">
        <w:t>Introduction</w:t>
      </w:r>
      <w:bookmarkEnd w:id="0"/>
      <w:bookmarkEnd w:id="1"/>
    </w:p>
    <w:p w14:paraId="0A0535F6" w14:textId="58E0D2E1" w:rsidR="00FE4E68" w:rsidRDefault="00FE4E68" w:rsidP="00FE4E68">
      <w:pPr>
        <w:pStyle w:val="BodyTextGrey"/>
      </w:pPr>
      <w:r>
        <w:t xml:space="preserve">The purpose of this policy is to set out the </w:t>
      </w:r>
      <w:r w:rsidR="00DC20CF">
        <w:t>a</w:t>
      </w:r>
      <w:r>
        <w:t xml:space="preserve">dministering </w:t>
      </w:r>
      <w:r w:rsidR="00DC20CF">
        <w:t>a</w:t>
      </w:r>
      <w:r>
        <w:t xml:space="preserve">uthority’s approach to dealing with </w:t>
      </w:r>
      <w:r w:rsidR="005C24AE">
        <w:t xml:space="preserve">circumstances where a </w:t>
      </w:r>
      <w:r w:rsidR="00DC20CF">
        <w:t>s</w:t>
      </w:r>
      <w:r w:rsidR="00D32412">
        <w:t xml:space="preserve">cheme </w:t>
      </w:r>
      <w:r w:rsidR="00DC20CF">
        <w:t>e</w:t>
      </w:r>
      <w:r w:rsidR="00D32412">
        <w:t>mployer leave</w:t>
      </w:r>
      <w:r w:rsidR="005C24AE">
        <w:t>s</w:t>
      </w:r>
      <w:r w:rsidR="00D32412">
        <w:t xml:space="preserve"> the </w:t>
      </w:r>
      <w:r w:rsidR="00DC20CF">
        <w:t>f</w:t>
      </w:r>
      <w:r w:rsidR="00D32412">
        <w:t>und and become</w:t>
      </w:r>
      <w:r w:rsidR="00C93C67">
        <w:t>s</w:t>
      </w:r>
      <w:r w:rsidR="00D32412">
        <w:t xml:space="preserve"> an </w:t>
      </w:r>
      <w:proofErr w:type="spellStart"/>
      <w:r w:rsidR="00DC20CF">
        <w:t>e</w:t>
      </w:r>
      <w:r w:rsidR="00D32412">
        <w:t>xiting</w:t>
      </w:r>
      <w:proofErr w:type="spellEnd"/>
      <w:r w:rsidR="00D32412">
        <w:t xml:space="preserve"> </w:t>
      </w:r>
      <w:r w:rsidR="00DC20CF">
        <w:t>e</w:t>
      </w:r>
      <w:r w:rsidR="00D32412">
        <w:t>mployer</w:t>
      </w:r>
      <w:r w:rsidR="005C24AE">
        <w:t xml:space="preserve"> (a cessation event)</w:t>
      </w:r>
      <w:r w:rsidR="00D32412">
        <w:t>.</w:t>
      </w:r>
    </w:p>
    <w:p w14:paraId="4CBE1B6A" w14:textId="2509568E" w:rsidR="00D42563" w:rsidRPr="00D42563" w:rsidRDefault="00C93C67" w:rsidP="00D42563">
      <w:pPr>
        <w:pStyle w:val="BodyTextGrey"/>
      </w:pPr>
      <w:r>
        <w:t>It should be noted that this policy is not exhaustive</w:t>
      </w:r>
      <w:r w:rsidR="00D42563">
        <w:t xml:space="preserve">. </w:t>
      </w:r>
      <w:r w:rsidR="00D42563" w:rsidRPr="00D42563">
        <w:t xml:space="preserve">Each cessation will be treated on a case-by-case basis, however certain principles will apply as governed by the regulatory framework and the </w:t>
      </w:r>
      <w:r w:rsidR="00DC20CF">
        <w:t>f</w:t>
      </w:r>
      <w:r w:rsidR="00D42563" w:rsidRPr="00D42563">
        <w:t xml:space="preserve">und’s discretionary policies </w:t>
      </w:r>
      <w:r w:rsidR="00447C79" w:rsidRPr="00D42563">
        <w:t>(see below)</w:t>
      </w:r>
      <w:r w:rsidR="00447C79">
        <w:t>.</w:t>
      </w:r>
    </w:p>
    <w:p w14:paraId="2893BAA5" w14:textId="77777777" w:rsidR="00FE4E68" w:rsidRDefault="00FE4E68" w:rsidP="00FE4E68">
      <w:pPr>
        <w:pStyle w:val="Heading2Num"/>
      </w:pPr>
      <w:r>
        <w:t>Aims and Objectives</w:t>
      </w:r>
    </w:p>
    <w:p w14:paraId="42B55526" w14:textId="1CCA3C46" w:rsidR="00FE4E68" w:rsidRDefault="00527BE4" w:rsidP="00FE4E68">
      <w:pPr>
        <w:pStyle w:val="BodyTextGrey"/>
      </w:pPr>
      <w:r>
        <w:t xml:space="preserve">The </w:t>
      </w:r>
      <w:r w:rsidR="00DC20CF">
        <w:t>a</w:t>
      </w:r>
      <w:r>
        <w:t xml:space="preserve">dministering </w:t>
      </w:r>
      <w:r w:rsidR="00DC20CF">
        <w:t>a</w:t>
      </w:r>
      <w:r>
        <w:t xml:space="preserve">uthority’s </w:t>
      </w:r>
      <w:r w:rsidR="00C93C67">
        <w:t xml:space="preserve">aims and </w:t>
      </w:r>
      <w:r w:rsidR="00FE4E68">
        <w:t>objectives related to this policy are as follows:</w:t>
      </w:r>
    </w:p>
    <w:p w14:paraId="7B50B3DF" w14:textId="131B8793" w:rsidR="005C24AE" w:rsidRDefault="00C93C67" w:rsidP="00D80D1C">
      <w:pPr>
        <w:pStyle w:val="BodyTextGrey"/>
        <w:numPr>
          <w:ilvl w:val="0"/>
          <w:numId w:val="20"/>
        </w:numPr>
      </w:pPr>
      <w:r>
        <w:t xml:space="preserve">To confirm </w:t>
      </w:r>
      <w:r w:rsidR="005C24AE">
        <w:t xml:space="preserve">the approach for the treatment and valuation of liabilities for employers leaving the </w:t>
      </w:r>
      <w:r w:rsidR="00DC20CF">
        <w:t>f</w:t>
      </w:r>
      <w:r w:rsidR="005C24AE">
        <w:t>und</w:t>
      </w:r>
      <w:r>
        <w:t>.</w:t>
      </w:r>
    </w:p>
    <w:p w14:paraId="57BC1D27" w14:textId="222CC8BA" w:rsidR="00ED3DB3" w:rsidRDefault="00ED3DB3" w:rsidP="00D80D1C">
      <w:pPr>
        <w:pStyle w:val="BodyTextGrey"/>
        <w:numPr>
          <w:ilvl w:val="0"/>
          <w:numId w:val="20"/>
        </w:numPr>
      </w:pPr>
      <w:r>
        <w:t xml:space="preserve">To provide information about how the </w:t>
      </w:r>
      <w:r w:rsidR="00DC20CF">
        <w:t>f</w:t>
      </w:r>
      <w:r>
        <w:t xml:space="preserve">und </w:t>
      </w:r>
      <w:r w:rsidR="0009629C">
        <w:t>may</w:t>
      </w:r>
      <w:r>
        <w:t xml:space="preserve"> apply its discretionary powers when managing employer cessations.</w:t>
      </w:r>
    </w:p>
    <w:p w14:paraId="62115EE1" w14:textId="7642E114" w:rsidR="005C24AE" w:rsidRDefault="00C93C67" w:rsidP="00D80D1C">
      <w:pPr>
        <w:pStyle w:val="BodyTextGrey"/>
        <w:numPr>
          <w:ilvl w:val="0"/>
          <w:numId w:val="20"/>
        </w:numPr>
      </w:pPr>
      <w:r>
        <w:t>T</w:t>
      </w:r>
      <w:r w:rsidR="005C24AE">
        <w:t xml:space="preserve">o outline the responsibilities of (and flexibilities for) </w:t>
      </w:r>
      <w:r w:rsidR="00DC20CF">
        <w:t>e</w:t>
      </w:r>
      <w:r w:rsidR="005C24AE">
        <w:t xml:space="preserve">xiting </w:t>
      </w:r>
      <w:r w:rsidR="00DC20CF">
        <w:t>e</w:t>
      </w:r>
      <w:r w:rsidR="005C24AE">
        <w:t xml:space="preserve">mployers, the </w:t>
      </w:r>
      <w:r w:rsidR="00DC20CF">
        <w:t>a</w:t>
      </w:r>
      <w:r w:rsidR="005C24AE">
        <w:t xml:space="preserve">dministering </w:t>
      </w:r>
      <w:r w:rsidR="00DC20CF">
        <w:t>a</w:t>
      </w:r>
      <w:r w:rsidR="005C24AE">
        <w:t xml:space="preserve">uthority, the </w:t>
      </w:r>
      <w:r w:rsidR="00DC20CF">
        <w:t>a</w:t>
      </w:r>
      <w:r w:rsidR="005C24AE">
        <w:t xml:space="preserve">ctuary and, where relevant, the original </w:t>
      </w:r>
      <w:r w:rsidR="002120AD">
        <w:t xml:space="preserve">ceding </w:t>
      </w:r>
      <w:r w:rsidR="00DC20CF">
        <w:t>s</w:t>
      </w:r>
      <w:r w:rsidR="005C24AE">
        <w:t xml:space="preserve">cheme </w:t>
      </w:r>
      <w:r w:rsidR="00DC20CF">
        <w:t>e</w:t>
      </w:r>
      <w:r w:rsidR="005C24AE">
        <w:t>mployer (</w:t>
      </w:r>
      <w:r w:rsidR="00113311">
        <w:t>usually</w:t>
      </w:r>
      <w:r w:rsidR="002120AD">
        <w:t xml:space="preserve"> a </w:t>
      </w:r>
      <w:r w:rsidR="00DC20CF">
        <w:t>l</w:t>
      </w:r>
      <w:r w:rsidR="005C24AE">
        <w:t xml:space="preserve">etting </w:t>
      </w:r>
      <w:r w:rsidR="00DC20CF">
        <w:t>a</w:t>
      </w:r>
      <w:r w:rsidR="005C24AE">
        <w:t>uthority).</w:t>
      </w:r>
    </w:p>
    <w:p w14:paraId="2BC14A01" w14:textId="77777777" w:rsidR="00527BE4" w:rsidRPr="00527BE4" w:rsidRDefault="00527BE4" w:rsidP="002C49A5">
      <w:pPr>
        <w:pStyle w:val="Heading2Num"/>
      </w:pPr>
      <w:r w:rsidRPr="00527BE4">
        <w:t>Background</w:t>
      </w:r>
    </w:p>
    <w:p w14:paraId="65BF1572" w14:textId="021ACE53" w:rsidR="006F48DC" w:rsidRDefault="007B2E3D" w:rsidP="00527BE4">
      <w:pPr>
        <w:pStyle w:val="BodyTextGrey"/>
      </w:pPr>
      <w:r w:rsidRPr="009E414F">
        <w:t xml:space="preserve">As described in the </w:t>
      </w:r>
      <w:r w:rsidR="00450987" w:rsidRPr="009E414F">
        <w:t>Funding Strategy Statement (</w:t>
      </w:r>
      <w:r w:rsidRPr="009E414F">
        <w:t>FSS</w:t>
      </w:r>
      <w:r w:rsidR="00450987" w:rsidRPr="009E414F">
        <w:t>)</w:t>
      </w:r>
      <w:r w:rsidRPr="009E414F">
        <w:t>,</w:t>
      </w:r>
      <w:r>
        <w:t xml:space="preserve"> a </w:t>
      </w:r>
      <w:r w:rsidR="00DC20CF">
        <w:t>s</w:t>
      </w:r>
      <w:r>
        <w:t xml:space="preserve">cheme </w:t>
      </w:r>
      <w:r w:rsidR="00DC20CF">
        <w:t>e</w:t>
      </w:r>
      <w:r>
        <w:t xml:space="preserve">mployer may become an </w:t>
      </w:r>
      <w:proofErr w:type="spellStart"/>
      <w:r w:rsidR="00DC20CF">
        <w:t>e</w:t>
      </w:r>
      <w:r>
        <w:t>xiting</w:t>
      </w:r>
      <w:proofErr w:type="spellEnd"/>
      <w:r>
        <w:t xml:space="preserve"> </w:t>
      </w:r>
      <w:r w:rsidR="00DC20CF">
        <w:t>e</w:t>
      </w:r>
      <w:r>
        <w:t xml:space="preserve">mployer when a cessation event is triggered </w:t>
      </w:r>
      <w:r w:rsidR="0090715C">
        <w:t>e.g. w</w:t>
      </w:r>
      <w:r>
        <w:t xml:space="preserve">hen the last active member stops participating in the </w:t>
      </w:r>
      <w:r w:rsidR="00DC20CF">
        <w:t>f</w:t>
      </w:r>
      <w:r>
        <w:t>und.</w:t>
      </w:r>
      <w:r w:rsidR="006F48DC">
        <w:t xml:space="preserve">  On cessation from the </w:t>
      </w:r>
      <w:r w:rsidR="00DC20CF">
        <w:t>f</w:t>
      </w:r>
      <w:r w:rsidR="006F48DC">
        <w:t>und</w:t>
      </w:r>
      <w:r w:rsidR="002120AD">
        <w:t xml:space="preserve">, </w:t>
      </w:r>
      <w:r w:rsidR="006F48DC">
        <w:t xml:space="preserve">the </w:t>
      </w:r>
      <w:r w:rsidR="00DC20CF">
        <w:t>a</w:t>
      </w:r>
      <w:r w:rsidR="006F48DC">
        <w:t xml:space="preserve">dministering </w:t>
      </w:r>
      <w:r w:rsidR="00DC20CF">
        <w:t>a</w:t>
      </w:r>
      <w:r w:rsidR="006F48DC">
        <w:t xml:space="preserve">uthority will instruct the </w:t>
      </w:r>
      <w:r w:rsidR="00DC20CF">
        <w:t>f</w:t>
      </w:r>
      <w:r w:rsidR="00450987">
        <w:t xml:space="preserve">und </w:t>
      </w:r>
      <w:r w:rsidR="00DC20CF">
        <w:t>a</w:t>
      </w:r>
      <w:r w:rsidR="006F48DC">
        <w:t xml:space="preserve">ctuary to carry out a valuation of assets and liabilities for the </w:t>
      </w:r>
      <w:r w:rsidR="00DC20CF">
        <w:t>e</w:t>
      </w:r>
      <w:r w:rsidR="006F48DC">
        <w:t xml:space="preserve">xiting </w:t>
      </w:r>
      <w:r w:rsidR="00DC20CF">
        <w:t>e</w:t>
      </w:r>
      <w:r w:rsidR="006F48DC">
        <w:t>mployer to determine whether a</w:t>
      </w:r>
      <w:r w:rsidR="00120909">
        <w:t xml:space="preserve"> deficit or surplus exists.</w:t>
      </w:r>
      <w:r w:rsidR="0090715C">
        <w:t xml:space="preserve"> The </w:t>
      </w:r>
      <w:r w:rsidR="00DC20CF">
        <w:t>f</w:t>
      </w:r>
      <w:r w:rsidR="0090715C">
        <w:t xml:space="preserve">und has </w:t>
      </w:r>
      <w:r w:rsidR="002F59D6">
        <w:t xml:space="preserve">full </w:t>
      </w:r>
      <w:r w:rsidR="0090715C">
        <w:t xml:space="preserve">discretion over </w:t>
      </w:r>
      <w:r w:rsidR="00ED3DB3">
        <w:t xml:space="preserve">the repayment terms of </w:t>
      </w:r>
      <w:r w:rsidR="0090715C">
        <w:t>any deficit</w:t>
      </w:r>
      <w:r w:rsidR="00ED3DB3">
        <w:t xml:space="preserve">, </w:t>
      </w:r>
      <w:r w:rsidR="009C3D9A">
        <w:t>however</w:t>
      </w:r>
      <w:r w:rsidR="00815B58">
        <w:t>,</w:t>
      </w:r>
      <w:r w:rsidR="009C3D9A">
        <w:t xml:space="preserve"> is </w:t>
      </w:r>
      <w:r w:rsidR="00A9456C">
        <w:t>l</w:t>
      </w:r>
      <w:r w:rsidR="00724773">
        <w:t>iable for</w:t>
      </w:r>
      <w:r w:rsidR="009C3D9A">
        <w:t xml:space="preserve"> </w:t>
      </w:r>
      <w:r w:rsidR="00724773">
        <w:t xml:space="preserve">any </w:t>
      </w:r>
      <w:r w:rsidR="00ED3DB3">
        <w:t xml:space="preserve">surplus </w:t>
      </w:r>
      <w:r w:rsidR="00206AC0">
        <w:t xml:space="preserve">through the payment </w:t>
      </w:r>
      <w:r w:rsidR="00ED3DB3">
        <w:t>of an exit credit.</w:t>
      </w:r>
    </w:p>
    <w:p w14:paraId="0D6506E9" w14:textId="77777777" w:rsidR="00FE4E68" w:rsidRPr="00F90E63" w:rsidRDefault="00FE4E68" w:rsidP="00527BE4">
      <w:pPr>
        <w:pStyle w:val="Heading2Num"/>
      </w:pPr>
      <w:bookmarkStart w:id="11" w:name="_Toc86052002"/>
      <w:r w:rsidRPr="00F90E63">
        <w:t>Guidance and regulatory framework</w:t>
      </w:r>
      <w:bookmarkEnd w:id="11"/>
      <w:r w:rsidRPr="00F90E63">
        <w:t xml:space="preserve"> </w:t>
      </w:r>
    </w:p>
    <w:p w14:paraId="087F6CAA" w14:textId="2CE400BE" w:rsidR="006F48DC" w:rsidRPr="00C96D16" w:rsidRDefault="006F48DC" w:rsidP="006F48DC">
      <w:pPr>
        <w:pStyle w:val="BodyTextGrey"/>
        <w:rPr>
          <w:color w:val="646464" w:themeColor="accent5"/>
        </w:rPr>
      </w:pPr>
      <w:bookmarkStart w:id="12" w:name="_Toc86052003"/>
      <w:r>
        <w:t xml:space="preserve">The Local Government Pension Scheme </w:t>
      </w:r>
      <w:r w:rsidR="00FE496F">
        <w:t xml:space="preserve">(Scotland) </w:t>
      </w:r>
      <w:r>
        <w:t>Regulations 201</w:t>
      </w:r>
      <w:r w:rsidR="002746D2">
        <w:t>8</w:t>
      </w:r>
      <w:r>
        <w:t xml:space="preserve"> contain relevant provisions regarding employer</w:t>
      </w:r>
      <w:r w:rsidR="007E06DA">
        <w:t>s</w:t>
      </w:r>
      <w:r>
        <w:t xml:space="preserve"> leaving the </w:t>
      </w:r>
      <w:r w:rsidR="00DC20CF">
        <w:t>f</w:t>
      </w:r>
      <w:r>
        <w:t>und (</w:t>
      </w:r>
      <w:hyperlink r:id="rId11" w:anchor="r61" w:history="1">
        <w:r w:rsidR="002746D2" w:rsidRPr="002746D2">
          <w:rPr>
            <w:rStyle w:val="Hyperlink"/>
          </w:rPr>
          <w:t>Regulation 61</w:t>
        </w:r>
      </w:hyperlink>
      <w:r>
        <w:t>) and include the following:</w:t>
      </w:r>
    </w:p>
    <w:p w14:paraId="1B787753" w14:textId="4765BABB" w:rsidR="006F48DC" w:rsidRPr="00785319" w:rsidRDefault="006F48DC" w:rsidP="0044769C">
      <w:pPr>
        <w:pStyle w:val="ListParagraph"/>
        <w:numPr>
          <w:ilvl w:val="0"/>
          <w:numId w:val="13"/>
        </w:numPr>
        <w:spacing w:after="130"/>
        <w:ind w:left="360"/>
        <w:rPr>
          <w:color w:val="455560"/>
          <w:lang w:eastAsia="en-US"/>
        </w:rPr>
      </w:pPr>
      <w:r w:rsidRPr="00785319">
        <w:rPr>
          <w:color w:val="455560"/>
          <w:lang w:eastAsia="en-US"/>
        </w:rPr>
        <w:t>Regulation 6</w:t>
      </w:r>
      <w:r w:rsidR="00D20D54" w:rsidRPr="00785319">
        <w:rPr>
          <w:color w:val="455560"/>
          <w:lang w:eastAsia="en-US"/>
        </w:rPr>
        <w:t>1</w:t>
      </w:r>
      <w:r w:rsidRPr="00785319">
        <w:rPr>
          <w:color w:val="455560"/>
          <w:lang w:eastAsia="en-US"/>
        </w:rPr>
        <w:t xml:space="preserve"> (</w:t>
      </w:r>
      <w:r w:rsidR="00874822" w:rsidRPr="00785319">
        <w:rPr>
          <w:color w:val="455560"/>
          <w:lang w:eastAsia="en-US"/>
        </w:rPr>
        <w:t>2</w:t>
      </w:r>
      <w:r w:rsidRPr="00785319">
        <w:rPr>
          <w:color w:val="455560"/>
          <w:lang w:eastAsia="en-US"/>
        </w:rPr>
        <w:t xml:space="preserve">) – this regulation states that, where an employing authority ceases to be a </w:t>
      </w:r>
      <w:r w:rsidR="00DC20CF" w:rsidRPr="00785319">
        <w:rPr>
          <w:color w:val="455560"/>
          <w:lang w:eastAsia="en-US"/>
        </w:rPr>
        <w:t>s</w:t>
      </w:r>
      <w:r w:rsidRPr="00785319">
        <w:rPr>
          <w:color w:val="455560"/>
          <w:lang w:eastAsia="en-US"/>
        </w:rPr>
        <w:t xml:space="preserve">cheme </w:t>
      </w:r>
      <w:r w:rsidR="00DC20CF" w:rsidRPr="00785319">
        <w:rPr>
          <w:color w:val="455560"/>
          <w:lang w:eastAsia="en-US"/>
        </w:rPr>
        <w:t>e</w:t>
      </w:r>
      <w:r w:rsidRPr="00785319">
        <w:rPr>
          <w:color w:val="455560"/>
          <w:lang w:eastAsia="en-US"/>
        </w:rPr>
        <w:t xml:space="preserve">mployer, the </w:t>
      </w:r>
      <w:r w:rsidR="00DC20CF" w:rsidRPr="00785319">
        <w:rPr>
          <w:color w:val="455560"/>
          <w:lang w:eastAsia="en-US"/>
        </w:rPr>
        <w:t>a</w:t>
      </w:r>
      <w:r w:rsidRPr="00785319">
        <w:rPr>
          <w:color w:val="455560"/>
          <w:lang w:eastAsia="en-US"/>
        </w:rPr>
        <w:t xml:space="preserve">dministering </w:t>
      </w:r>
      <w:r w:rsidR="00DC20CF" w:rsidRPr="00785319">
        <w:rPr>
          <w:color w:val="455560"/>
          <w:lang w:eastAsia="en-US"/>
        </w:rPr>
        <w:t>a</w:t>
      </w:r>
      <w:r w:rsidRPr="00785319">
        <w:rPr>
          <w:color w:val="455560"/>
          <w:lang w:eastAsia="en-US"/>
        </w:rPr>
        <w:t xml:space="preserve">uthority is required to obtain an actuarial valuation of the liabilities of current and former employees as at the termination date.  Further, it requires the Rates </w:t>
      </w:r>
      <w:r w:rsidR="00DC20CF" w:rsidRPr="00785319">
        <w:rPr>
          <w:color w:val="455560"/>
          <w:lang w:eastAsia="en-US"/>
        </w:rPr>
        <w:t>&amp;</w:t>
      </w:r>
      <w:r w:rsidRPr="00785319">
        <w:rPr>
          <w:color w:val="455560"/>
          <w:lang w:eastAsia="en-US"/>
        </w:rPr>
        <w:t xml:space="preserve"> Adjustments Certificate to be amended to show the revised contributions due from</w:t>
      </w:r>
      <w:r w:rsidR="00045BFC" w:rsidRPr="00785319">
        <w:rPr>
          <w:color w:val="455560"/>
          <w:lang w:eastAsia="en-US"/>
        </w:rPr>
        <w:t xml:space="preserve">, or the exit credit payable to, </w:t>
      </w:r>
      <w:r w:rsidRPr="00785319">
        <w:rPr>
          <w:color w:val="455560"/>
          <w:lang w:eastAsia="en-US"/>
        </w:rPr>
        <w:t xml:space="preserve">the </w:t>
      </w:r>
      <w:r w:rsidR="00DC20CF" w:rsidRPr="00785319">
        <w:rPr>
          <w:color w:val="455560"/>
          <w:lang w:eastAsia="en-US"/>
        </w:rPr>
        <w:t>e</w:t>
      </w:r>
      <w:r w:rsidRPr="00785319">
        <w:rPr>
          <w:color w:val="455560"/>
          <w:lang w:eastAsia="en-US"/>
        </w:rPr>
        <w:t xml:space="preserve">xiting </w:t>
      </w:r>
      <w:r w:rsidR="00DC20CF" w:rsidRPr="00785319">
        <w:rPr>
          <w:color w:val="455560"/>
          <w:lang w:eastAsia="en-US"/>
        </w:rPr>
        <w:t>e</w:t>
      </w:r>
      <w:r w:rsidRPr="00785319">
        <w:rPr>
          <w:color w:val="455560"/>
          <w:lang w:eastAsia="en-US"/>
        </w:rPr>
        <w:t>mployer</w:t>
      </w:r>
      <w:r w:rsidR="0066123E" w:rsidRPr="00785319">
        <w:rPr>
          <w:color w:val="455560"/>
          <w:lang w:eastAsia="en-US"/>
        </w:rPr>
        <w:t>.</w:t>
      </w:r>
    </w:p>
    <w:p w14:paraId="7FFAA9FE" w14:textId="77777777" w:rsidR="00045BFC" w:rsidRPr="00785319" w:rsidRDefault="00045BFC" w:rsidP="00045BFC">
      <w:pPr>
        <w:pStyle w:val="ListParagraph"/>
        <w:spacing w:after="130"/>
        <w:ind w:left="360"/>
        <w:rPr>
          <w:color w:val="455560"/>
          <w:lang w:eastAsia="en-US"/>
        </w:rPr>
      </w:pPr>
    </w:p>
    <w:p w14:paraId="64658E19" w14:textId="0AF0F2B9" w:rsidR="006F48DC" w:rsidRPr="00785319" w:rsidRDefault="006F48DC" w:rsidP="0044769C">
      <w:pPr>
        <w:pStyle w:val="ListParagraph"/>
        <w:numPr>
          <w:ilvl w:val="0"/>
          <w:numId w:val="13"/>
        </w:numPr>
        <w:spacing w:after="130"/>
        <w:ind w:left="360"/>
        <w:rPr>
          <w:color w:val="455560"/>
          <w:lang w:eastAsia="en-US"/>
        </w:rPr>
      </w:pPr>
      <w:r w:rsidRPr="00785319">
        <w:rPr>
          <w:color w:val="455560"/>
          <w:lang w:eastAsia="en-US"/>
        </w:rPr>
        <w:lastRenderedPageBreak/>
        <w:t>Regulation 6</w:t>
      </w:r>
      <w:r w:rsidR="00045BFC" w:rsidRPr="00785319">
        <w:rPr>
          <w:color w:val="455560"/>
          <w:lang w:eastAsia="en-US"/>
        </w:rPr>
        <w:t>1</w:t>
      </w:r>
      <w:r w:rsidRPr="00785319">
        <w:rPr>
          <w:color w:val="455560"/>
          <w:lang w:eastAsia="en-US"/>
        </w:rPr>
        <w:t xml:space="preserve"> (</w:t>
      </w:r>
      <w:r w:rsidR="00BC07E7" w:rsidRPr="00785319">
        <w:rPr>
          <w:color w:val="455560"/>
          <w:lang w:eastAsia="en-US"/>
        </w:rPr>
        <w:t>3</w:t>
      </w:r>
      <w:r w:rsidRPr="00785319">
        <w:rPr>
          <w:color w:val="455560"/>
          <w:lang w:eastAsia="en-US"/>
        </w:rPr>
        <w:t>)</w:t>
      </w:r>
      <w:r w:rsidR="00BC07E7" w:rsidRPr="00785319">
        <w:rPr>
          <w:color w:val="455560"/>
          <w:lang w:eastAsia="en-US"/>
        </w:rPr>
        <w:t xml:space="preserve"> </w:t>
      </w:r>
      <w:r w:rsidRPr="00785319">
        <w:rPr>
          <w:color w:val="455560"/>
          <w:lang w:eastAsia="en-US"/>
        </w:rPr>
        <w:t xml:space="preserve">– the </w:t>
      </w:r>
      <w:r w:rsidR="00DC20CF" w:rsidRPr="00785319">
        <w:rPr>
          <w:color w:val="455560"/>
          <w:lang w:eastAsia="en-US"/>
        </w:rPr>
        <w:t>a</w:t>
      </w:r>
      <w:r w:rsidRPr="00785319">
        <w:rPr>
          <w:color w:val="455560"/>
          <w:lang w:eastAsia="en-US"/>
        </w:rPr>
        <w:t xml:space="preserve">dministering </w:t>
      </w:r>
      <w:r w:rsidR="00DC20CF" w:rsidRPr="00785319">
        <w:rPr>
          <w:color w:val="455560"/>
          <w:lang w:eastAsia="en-US"/>
        </w:rPr>
        <w:t>a</w:t>
      </w:r>
      <w:r w:rsidRPr="00785319">
        <w:rPr>
          <w:color w:val="455560"/>
          <w:lang w:eastAsia="en-US"/>
        </w:rPr>
        <w:t xml:space="preserve">uthority, at its discretion, may issue a suspension notice to suspend payment of an exit amount for up to three years, where it reasonably believes the </w:t>
      </w:r>
      <w:r w:rsidR="00DC20CF" w:rsidRPr="00785319">
        <w:rPr>
          <w:color w:val="455560"/>
          <w:lang w:eastAsia="en-US"/>
        </w:rPr>
        <w:t>e</w:t>
      </w:r>
      <w:r w:rsidRPr="00785319">
        <w:rPr>
          <w:color w:val="455560"/>
          <w:lang w:eastAsia="en-US"/>
        </w:rPr>
        <w:t xml:space="preserve">xiting </w:t>
      </w:r>
      <w:r w:rsidR="00DC20CF" w:rsidRPr="00785319">
        <w:rPr>
          <w:color w:val="455560"/>
          <w:lang w:eastAsia="en-US"/>
        </w:rPr>
        <w:t>e</w:t>
      </w:r>
      <w:r w:rsidRPr="00785319">
        <w:rPr>
          <w:color w:val="455560"/>
          <w:lang w:eastAsia="en-US"/>
        </w:rPr>
        <w:t xml:space="preserve">mployer is to have one or more active members contributing to the </w:t>
      </w:r>
      <w:r w:rsidR="00DC20CF" w:rsidRPr="00785319">
        <w:rPr>
          <w:color w:val="455560"/>
          <w:lang w:eastAsia="en-US"/>
        </w:rPr>
        <w:t>f</w:t>
      </w:r>
      <w:r w:rsidRPr="00785319">
        <w:rPr>
          <w:color w:val="455560"/>
          <w:lang w:eastAsia="en-US"/>
        </w:rPr>
        <w:t>und within the period specified in the suspension notice.</w:t>
      </w:r>
    </w:p>
    <w:p w14:paraId="27094BEC" w14:textId="77777777" w:rsidR="006F48DC" w:rsidRDefault="006F48DC" w:rsidP="0044769C">
      <w:pPr>
        <w:pStyle w:val="ListParagraph"/>
        <w:spacing w:after="130"/>
        <w:ind w:left="360"/>
        <w:rPr>
          <w:color w:val="455560"/>
          <w:lang w:eastAsia="en-US"/>
        </w:rPr>
      </w:pPr>
    </w:p>
    <w:p w14:paraId="28BF9D14" w14:textId="77777777" w:rsidR="00D41BBE" w:rsidRPr="00D41BBE" w:rsidRDefault="00D41BBE" w:rsidP="00D41BBE">
      <w:pPr>
        <w:pStyle w:val="ListParagraph"/>
        <w:numPr>
          <w:ilvl w:val="0"/>
          <w:numId w:val="13"/>
        </w:numPr>
        <w:spacing w:after="130"/>
        <w:ind w:left="360"/>
        <w:rPr>
          <w:color w:val="455560"/>
          <w:lang w:eastAsia="en-US"/>
        </w:rPr>
      </w:pPr>
      <w:r w:rsidRPr="00D41BBE">
        <w:rPr>
          <w:color w:val="455560"/>
          <w:lang w:eastAsia="en-US"/>
        </w:rPr>
        <w:t>Regulation 61 (4B-4G) – the administering authority may enter into a written deferred debt agreement, allowing the employer to have deferred employer status and to delay crystallisation of debt despite having no active members.</w:t>
      </w:r>
    </w:p>
    <w:p w14:paraId="3EB10953" w14:textId="77777777" w:rsidR="00D41BBE" w:rsidRPr="00785319" w:rsidRDefault="00D41BBE" w:rsidP="0044769C">
      <w:pPr>
        <w:pStyle w:val="ListParagraph"/>
        <w:spacing w:after="130"/>
        <w:ind w:left="360"/>
        <w:rPr>
          <w:color w:val="455560"/>
          <w:lang w:eastAsia="en-US"/>
        </w:rPr>
      </w:pPr>
    </w:p>
    <w:p w14:paraId="2AB2535C" w14:textId="518E9B42" w:rsidR="006F48DC" w:rsidRPr="00785319" w:rsidRDefault="006F48DC" w:rsidP="0044769C">
      <w:pPr>
        <w:pStyle w:val="ListParagraph"/>
        <w:numPr>
          <w:ilvl w:val="0"/>
          <w:numId w:val="13"/>
        </w:numPr>
        <w:spacing w:after="130"/>
        <w:ind w:left="360"/>
        <w:rPr>
          <w:color w:val="455560"/>
          <w:lang w:eastAsia="en-US"/>
        </w:rPr>
      </w:pPr>
      <w:r w:rsidRPr="00785319">
        <w:rPr>
          <w:color w:val="455560"/>
          <w:lang w:eastAsia="en-US"/>
        </w:rPr>
        <w:t>Regulation 6</w:t>
      </w:r>
      <w:r w:rsidR="00785319" w:rsidRPr="00785319">
        <w:rPr>
          <w:color w:val="455560"/>
          <w:lang w:eastAsia="en-US"/>
        </w:rPr>
        <w:t>1</w:t>
      </w:r>
      <w:r w:rsidRPr="00785319">
        <w:rPr>
          <w:color w:val="455560"/>
          <w:lang w:eastAsia="en-US"/>
        </w:rPr>
        <w:t xml:space="preserve"> (</w:t>
      </w:r>
      <w:r w:rsidR="00785319" w:rsidRPr="00785319">
        <w:rPr>
          <w:color w:val="455560"/>
          <w:lang w:eastAsia="en-US"/>
        </w:rPr>
        <w:t>5</w:t>
      </w:r>
      <w:r w:rsidRPr="00785319">
        <w:rPr>
          <w:color w:val="455560"/>
          <w:lang w:eastAsia="en-US"/>
        </w:rPr>
        <w:t xml:space="preserve">) – in instances where it is not possible to obtain additional contributions from the employer leaving the </w:t>
      </w:r>
      <w:r w:rsidR="00CE4CCF">
        <w:rPr>
          <w:color w:val="455560"/>
          <w:lang w:eastAsia="en-US"/>
        </w:rPr>
        <w:t>f</w:t>
      </w:r>
      <w:r w:rsidRPr="00785319">
        <w:rPr>
          <w:color w:val="455560"/>
          <w:lang w:eastAsia="en-US"/>
        </w:rPr>
        <w:t xml:space="preserve">und or from the bond/indemnity or guarantor, the contribution rate(s) for the appropriate </w:t>
      </w:r>
      <w:r w:rsidR="00DC20CF" w:rsidRPr="00785319">
        <w:rPr>
          <w:color w:val="455560"/>
          <w:lang w:eastAsia="en-US"/>
        </w:rPr>
        <w:t>s</w:t>
      </w:r>
      <w:r w:rsidRPr="00785319">
        <w:rPr>
          <w:color w:val="455560"/>
          <w:lang w:eastAsia="en-US"/>
        </w:rPr>
        <w:t xml:space="preserve">cheme </w:t>
      </w:r>
      <w:r w:rsidR="00DC20CF" w:rsidRPr="00785319">
        <w:rPr>
          <w:color w:val="455560"/>
          <w:lang w:eastAsia="en-US"/>
        </w:rPr>
        <w:t>e</w:t>
      </w:r>
      <w:r w:rsidRPr="00785319">
        <w:rPr>
          <w:color w:val="455560"/>
          <w:lang w:eastAsia="en-US"/>
        </w:rPr>
        <w:t xml:space="preserve">mployer or remaining </w:t>
      </w:r>
      <w:r w:rsidR="00DC20CF" w:rsidRPr="00785319">
        <w:rPr>
          <w:color w:val="455560"/>
          <w:lang w:eastAsia="en-US"/>
        </w:rPr>
        <w:t>f</w:t>
      </w:r>
      <w:r w:rsidRPr="00785319">
        <w:rPr>
          <w:color w:val="455560"/>
          <w:lang w:eastAsia="en-US"/>
        </w:rPr>
        <w:t xml:space="preserve">und employers may be amended. </w:t>
      </w:r>
    </w:p>
    <w:p w14:paraId="1634B3DC" w14:textId="77777777" w:rsidR="006F48DC" w:rsidRPr="002746D2" w:rsidRDefault="006F48DC" w:rsidP="0044769C">
      <w:pPr>
        <w:pStyle w:val="ListParagraph"/>
        <w:spacing w:after="130"/>
        <w:ind w:left="360"/>
        <w:rPr>
          <w:color w:val="455560"/>
          <w:highlight w:val="yellow"/>
          <w:lang w:eastAsia="en-US"/>
        </w:rPr>
      </w:pPr>
    </w:p>
    <w:p w14:paraId="7EE4C4AD" w14:textId="2C481DB7" w:rsidR="006F48DC" w:rsidRPr="00BE7326" w:rsidRDefault="006F48DC" w:rsidP="0044769C">
      <w:pPr>
        <w:pStyle w:val="ListParagraph"/>
        <w:numPr>
          <w:ilvl w:val="0"/>
          <w:numId w:val="13"/>
        </w:numPr>
        <w:spacing w:after="130"/>
        <w:ind w:left="360"/>
        <w:rPr>
          <w:color w:val="455560"/>
          <w:lang w:eastAsia="en-US"/>
        </w:rPr>
      </w:pPr>
      <w:r w:rsidRPr="00BE7326">
        <w:rPr>
          <w:color w:val="455560"/>
          <w:lang w:eastAsia="en-US"/>
        </w:rPr>
        <w:t>Regulation 6</w:t>
      </w:r>
      <w:r w:rsidR="00785319" w:rsidRPr="00BE7326">
        <w:rPr>
          <w:color w:val="455560"/>
          <w:lang w:eastAsia="en-US"/>
        </w:rPr>
        <w:t>1</w:t>
      </w:r>
      <w:r w:rsidRPr="00BE7326">
        <w:rPr>
          <w:color w:val="455560"/>
          <w:lang w:eastAsia="en-US"/>
        </w:rPr>
        <w:t xml:space="preserve"> (</w:t>
      </w:r>
      <w:r w:rsidR="00BE7326" w:rsidRPr="00BE7326">
        <w:rPr>
          <w:color w:val="455560"/>
          <w:lang w:eastAsia="en-US"/>
        </w:rPr>
        <w:t>6</w:t>
      </w:r>
      <w:r w:rsidRPr="00BE7326">
        <w:rPr>
          <w:color w:val="455560"/>
          <w:lang w:eastAsia="en-US"/>
        </w:rPr>
        <w:t xml:space="preserve">) – where it is believed a </w:t>
      </w:r>
      <w:r w:rsidR="00DC20CF" w:rsidRPr="00BE7326">
        <w:rPr>
          <w:color w:val="455560"/>
          <w:lang w:eastAsia="en-US"/>
        </w:rPr>
        <w:t>s</w:t>
      </w:r>
      <w:r w:rsidRPr="00BE7326">
        <w:rPr>
          <w:color w:val="455560"/>
          <w:lang w:eastAsia="en-US"/>
        </w:rPr>
        <w:t xml:space="preserve">cheme </w:t>
      </w:r>
      <w:r w:rsidR="00DC20CF" w:rsidRPr="00BE7326">
        <w:rPr>
          <w:color w:val="455560"/>
          <w:lang w:eastAsia="en-US"/>
        </w:rPr>
        <w:t>e</w:t>
      </w:r>
      <w:r w:rsidRPr="00BE7326">
        <w:rPr>
          <w:color w:val="455560"/>
          <w:lang w:eastAsia="en-US"/>
        </w:rPr>
        <w:t xml:space="preserve">mployer may cease at some point in the future, the </w:t>
      </w:r>
      <w:r w:rsidR="00DC20CF" w:rsidRPr="00BE7326">
        <w:rPr>
          <w:color w:val="455560"/>
          <w:lang w:eastAsia="en-US"/>
        </w:rPr>
        <w:t>a</w:t>
      </w:r>
      <w:r w:rsidRPr="00BE7326">
        <w:rPr>
          <w:color w:val="455560"/>
          <w:lang w:eastAsia="en-US"/>
        </w:rPr>
        <w:t xml:space="preserve">dministering </w:t>
      </w:r>
      <w:r w:rsidR="00DC20CF" w:rsidRPr="00BE7326">
        <w:rPr>
          <w:color w:val="455560"/>
          <w:lang w:eastAsia="en-US"/>
        </w:rPr>
        <w:t>a</w:t>
      </w:r>
      <w:r w:rsidRPr="00BE7326">
        <w:rPr>
          <w:color w:val="455560"/>
          <w:lang w:eastAsia="en-US"/>
        </w:rPr>
        <w:t xml:space="preserve">uthority may obtain a certificate from the </w:t>
      </w:r>
      <w:r w:rsidR="00DC20CF" w:rsidRPr="00BE7326">
        <w:rPr>
          <w:color w:val="455560"/>
          <w:lang w:eastAsia="en-US"/>
        </w:rPr>
        <w:t>f</w:t>
      </w:r>
      <w:r w:rsidRPr="00BE7326">
        <w:rPr>
          <w:color w:val="455560"/>
          <w:lang w:eastAsia="en-US"/>
        </w:rPr>
        <w:t xml:space="preserve">und actuary revising the contributions for that employer, with a view to ensuring that the assets are expected to be broadly equivalent to the </w:t>
      </w:r>
      <w:r w:rsidR="00DC20CF" w:rsidRPr="00BE7326">
        <w:rPr>
          <w:color w:val="455560"/>
          <w:lang w:eastAsia="en-US"/>
        </w:rPr>
        <w:t>e</w:t>
      </w:r>
      <w:r w:rsidRPr="00BE7326">
        <w:rPr>
          <w:color w:val="455560"/>
          <w:lang w:eastAsia="en-US"/>
        </w:rPr>
        <w:t xml:space="preserve">xit </w:t>
      </w:r>
      <w:r w:rsidR="00DC20CF" w:rsidRPr="00BE7326">
        <w:rPr>
          <w:color w:val="455560"/>
          <w:lang w:eastAsia="en-US"/>
        </w:rPr>
        <w:t>p</w:t>
      </w:r>
      <w:r w:rsidRPr="00BE7326">
        <w:rPr>
          <w:color w:val="455560"/>
          <w:lang w:eastAsia="en-US"/>
        </w:rPr>
        <w:t>ayment that will be due.</w:t>
      </w:r>
    </w:p>
    <w:p w14:paraId="295A252C" w14:textId="77777777" w:rsidR="006F48DC" w:rsidRPr="002746D2" w:rsidRDefault="006F48DC" w:rsidP="0044769C">
      <w:pPr>
        <w:pStyle w:val="ListParagraph"/>
        <w:spacing w:after="130"/>
        <w:ind w:left="360"/>
        <w:rPr>
          <w:color w:val="455560"/>
          <w:highlight w:val="yellow"/>
          <w:lang w:eastAsia="en-US"/>
        </w:rPr>
      </w:pPr>
    </w:p>
    <w:p w14:paraId="0250DA6F" w14:textId="66E71A27" w:rsidR="006F48DC" w:rsidRPr="00262A6A" w:rsidRDefault="006F48DC" w:rsidP="0044769C">
      <w:pPr>
        <w:pStyle w:val="ListParagraph"/>
        <w:numPr>
          <w:ilvl w:val="0"/>
          <w:numId w:val="13"/>
        </w:numPr>
        <w:spacing w:after="130"/>
        <w:ind w:left="360"/>
        <w:rPr>
          <w:color w:val="455560"/>
          <w:lang w:eastAsia="en-US"/>
        </w:rPr>
      </w:pPr>
      <w:r w:rsidRPr="00262A6A">
        <w:rPr>
          <w:color w:val="455560"/>
          <w:lang w:eastAsia="en-US"/>
        </w:rPr>
        <w:t>Regulation 6</w:t>
      </w:r>
      <w:r w:rsidR="00FB428E" w:rsidRPr="00262A6A">
        <w:rPr>
          <w:color w:val="455560"/>
          <w:lang w:eastAsia="en-US"/>
        </w:rPr>
        <w:t>1</w:t>
      </w:r>
      <w:r w:rsidRPr="00262A6A">
        <w:rPr>
          <w:color w:val="455560"/>
          <w:lang w:eastAsia="en-US"/>
        </w:rPr>
        <w:t xml:space="preserve"> (</w:t>
      </w:r>
      <w:r w:rsidR="00FB428E" w:rsidRPr="00262A6A">
        <w:rPr>
          <w:color w:val="455560"/>
          <w:lang w:eastAsia="en-US"/>
        </w:rPr>
        <w:t>7</w:t>
      </w:r>
      <w:r w:rsidRPr="00262A6A">
        <w:rPr>
          <w:color w:val="455560"/>
          <w:lang w:eastAsia="en-US"/>
        </w:rPr>
        <w:t xml:space="preserve">) – following the payment of an </w:t>
      </w:r>
      <w:r w:rsidR="00DC20CF" w:rsidRPr="00262A6A">
        <w:rPr>
          <w:color w:val="455560"/>
          <w:lang w:eastAsia="en-US"/>
        </w:rPr>
        <w:t>e</w:t>
      </w:r>
      <w:r w:rsidRPr="00262A6A">
        <w:rPr>
          <w:color w:val="455560"/>
          <w:lang w:eastAsia="en-US"/>
        </w:rPr>
        <w:t xml:space="preserve">xit </w:t>
      </w:r>
      <w:r w:rsidR="00DC20CF" w:rsidRPr="00262A6A">
        <w:rPr>
          <w:color w:val="455560"/>
          <w:lang w:eastAsia="en-US"/>
        </w:rPr>
        <w:t>p</w:t>
      </w:r>
      <w:r w:rsidRPr="00262A6A">
        <w:rPr>
          <w:color w:val="455560"/>
          <w:lang w:eastAsia="en-US"/>
        </w:rPr>
        <w:t>ayment to</w:t>
      </w:r>
      <w:r w:rsidR="00262A6A" w:rsidRPr="00262A6A">
        <w:rPr>
          <w:color w:val="455560"/>
          <w:lang w:eastAsia="en-US"/>
        </w:rPr>
        <w:t xml:space="preserve">/from </w:t>
      </w:r>
      <w:r w:rsidRPr="00262A6A">
        <w:rPr>
          <w:color w:val="455560"/>
          <w:lang w:eastAsia="en-US"/>
        </w:rPr>
        <w:t xml:space="preserve">the </w:t>
      </w:r>
      <w:r w:rsidR="00CE4CCF">
        <w:rPr>
          <w:color w:val="455560"/>
          <w:lang w:eastAsia="en-US"/>
        </w:rPr>
        <w:t>f</w:t>
      </w:r>
      <w:r w:rsidRPr="00262A6A">
        <w:rPr>
          <w:color w:val="455560"/>
          <w:lang w:eastAsia="en-US"/>
        </w:rPr>
        <w:t xml:space="preserve">und, no further payments are due to the </w:t>
      </w:r>
      <w:r w:rsidR="00DC20CF" w:rsidRPr="00262A6A">
        <w:rPr>
          <w:color w:val="455560"/>
          <w:lang w:eastAsia="en-US"/>
        </w:rPr>
        <w:t>f</w:t>
      </w:r>
      <w:r w:rsidRPr="00262A6A">
        <w:rPr>
          <w:color w:val="455560"/>
          <w:lang w:eastAsia="en-US"/>
        </w:rPr>
        <w:t xml:space="preserve">und from the </w:t>
      </w:r>
      <w:r w:rsidR="00DC20CF" w:rsidRPr="00262A6A">
        <w:rPr>
          <w:color w:val="455560"/>
          <w:lang w:eastAsia="en-US"/>
        </w:rPr>
        <w:t>e</w:t>
      </w:r>
      <w:r w:rsidRPr="00262A6A">
        <w:rPr>
          <w:color w:val="455560"/>
          <w:lang w:eastAsia="en-US"/>
        </w:rPr>
        <w:t xml:space="preserve">xiting </w:t>
      </w:r>
      <w:r w:rsidR="00DC20CF" w:rsidRPr="00262A6A">
        <w:rPr>
          <w:color w:val="455560"/>
          <w:lang w:eastAsia="en-US"/>
        </w:rPr>
        <w:t>e</w:t>
      </w:r>
      <w:r w:rsidRPr="00262A6A">
        <w:rPr>
          <w:color w:val="455560"/>
          <w:lang w:eastAsia="en-US"/>
        </w:rPr>
        <w:t xml:space="preserve">mployer. </w:t>
      </w:r>
    </w:p>
    <w:p w14:paraId="797C8203" w14:textId="77777777" w:rsidR="006F48DC" w:rsidRPr="002746D2" w:rsidRDefault="006F48DC" w:rsidP="006F48DC">
      <w:pPr>
        <w:pStyle w:val="ListParagraph"/>
        <w:spacing w:after="130"/>
        <w:rPr>
          <w:color w:val="455560"/>
          <w:highlight w:val="yellow"/>
          <w:lang w:eastAsia="en-US"/>
        </w:rPr>
      </w:pPr>
    </w:p>
    <w:p w14:paraId="38F17D34" w14:textId="3E50BF5A" w:rsidR="006F48DC" w:rsidRPr="003C57ED" w:rsidRDefault="006F48DC" w:rsidP="00F05A56">
      <w:pPr>
        <w:pStyle w:val="ListParagraph"/>
        <w:numPr>
          <w:ilvl w:val="0"/>
          <w:numId w:val="13"/>
        </w:numPr>
        <w:spacing w:after="130"/>
        <w:ind w:left="360"/>
        <w:rPr>
          <w:color w:val="455560"/>
          <w:lang w:eastAsia="en-US"/>
        </w:rPr>
      </w:pPr>
      <w:r w:rsidRPr="003C57ED">
        <w:rPr>
          <w:color w:val="455560"/>
          <w:lang w:eastAsia="en-US"/>
        </w:rPr>
        <w:t>Regulation 6</w:t>
      </w:r>
      <w:r w:rsidR="00A140BB" w:rsidRPr="003C57ED">
        <w:rPr>
          <w:color w:val="455560"/>
          <w:lang w:eastAsia="en-US"/>
        </w:rPr>
        <w:t>1</w:t>
      </w:r>
      <w:r w:rsidRPr="003C57ED">
        <w:rPr>
          <w:color w:val="455560"/>
          <w:lang w:eastAsia="en-US"/>
        </w:rPr>
        <w:t xml:space="preserve">B (1) – the </w:t>
      </w:r>
      <w:r w:rsidR="00DC20CF" w:rsidRPr="003C57ED">
        <w:rPr>
          <w:color w:val="455560"/>
          <w:lang w:eastAsia="en-US"/>
        </w:rPr>
        <w:t>a</w:t>
      </w:r>
      <w:r w:rsidRPr="003C57ED">
        <w:rPr>
          <w:color w:val="455560"/>
          <w:lang w:eastAsia="en-US"/>
        </w:rPr>
        <w:t xml:space="preserve">dministering </w:t>
      </w:r>
      <w:r w:rsidR="00DC20CF" w:rsidRPr="003C57ED">
        <w:rPr>
          <w:color w:val="455560"/>
          <w:lang w:eastAsia="en-US"/>
        </w:rPr>
        <w:t>a</w:t>
      </w:r>
      <w:r w:rsidRPr="003C57ED">
        <w:rPr>
          <w:color w:val="455560"/>
          <w:lang w:eastAsia="en-US"/>
        </w:rPr>
        <w:t xml:space="preserve">uthority may set out a policy on spreading </w:t>
      </w:r>
      <w:r w:rsidR="00DC20CF" w:rsidRPr="003C57ED">
        <w:rPr>
          <w:color w:val="455560"/>
          <w:lang w:eastAsia="en-US"/>
        </w:rPr>
        <w:t>e</w:t>
      </w:r>
      <w:r w:rsidRPr="003C57ED">
        <w:rPr>
          <w:color w:val="455560"/>
          <w:lang w:eastAsia="en-US"/>
        </w:rPr>
        <w:t xml:space="preserve">xit </w:t>
      </w:r>
      <w:r w:rsidR="00DC20CF" w:rsidRPr="003C57ED">
        <w:rPr>
          <w:color w:val="455560"/>
          <w:lang w:eastAsia="en-US"/>
        </w:rPr>
        <w:t>p</w:t>
      </w:r>
      <w:r w:rsidRPr="003C57ED">
        <w:rPr>
          <w:color w:val="455560"/>
          <w:lang w:eastAsia="en-US"/>
        </w:rPr>
        <w:t>ayments.</w:t>
      </w:r>
    </w:p>
    <w:p w14:paraId="5295B149" w14:textId="77777777" w:rsidR="007254CB" w:rsidRDefault="006F48DC" w:rsidP="007254CB">
      <w:pPr>
        <w:spacing w:after="200"/>
        <w:rPr>
          <w:color w:val="455560"/>
          <w:lang w:eastAsia="en-US"/>
        </w:rPr>
      </w:pPr>
      <w:r w:rsidRPr="000C04A0">
        <w:rPr>
          <w:color w:val="455560"/>
          <w:lang w:eastAsia="en-US"/>
        </w:rPr>
        <w:t>In addition to the 201</w:t>
      </w:r>
      <w:r w:rsidR="000C04A0">
        <w:rPr>
          <w:color w:val="455560"/>
          <w:lang w:eastAsia="en-US"/>
        </w:rPr>
        <w:t>8</w:t>
      </w:r>
      <w:r w:rsidRPr="000C04A0">
        <w:rPr>
          <w:color w:val="455560"/>
          <w:lang w:eastAsia="en-US"/>
        </w:rPr>
        <w:t xml:space="preserve"> Regulations summarised above, </w:t>
      </w:r>
      <w:hyperlink r:id="rId12" w:anchor="r25A" w:history="1">
        <w:r w:rsidRPr="000C04A0">
          <w:rPr>
            <w:rStyle w:val="Hyperlink"/>
            <w:lang w:eastAsia="en-US"/>
          </w:rPr>
          <w:t>Regulation 25A</w:t>
        </w:r>
      </w:hyperlink>
      <w:r w:rsidRPr="000C04A0">
        <w:rPr>
          <w:color w:val="455560"/>
          <w:lang w:eastAsia="en-US"/>
        </w:rPr>
        <w:t xml:space="preserve"> of the Local Government Pension Scheme </w:t>
      </w:r>
      <w:r w:rsidR="00FA1CDE">
        <w:rPr>
          <w:color w:val="455560"/>
          <w:lang w:eastAsia="en-US"/>
        </w:rPr>
        <w:t>(</w:t>
      </w:r>
      <w:r w:rsidRPr="000C04A0">
        <w:rPr>
          <w:color w:val="455560"/>
          <w:lang w:eastAsia="en-US"/>
        </w:rPr>
        <w:t>Transitional</w:t>
      </w:r>
      <w:r w:rsidR="00FA1CDE">
        <w:rPr>
          <w:color w:val="455560"/>
          <w:lang w:eastAsia="en-US"/>
        </w:rPr>
        <w:t xml:space="preserve"> </w:t>
      </w:r>
      <w:r w:rsidRPr="000C04A0">
        <w:rPr>
          <w:color w:val="455560"/>
          <w:lang w:eastAsia="en-US"/>
        </w:rPr>
        <w:t>Provisions</w:t>
      </w:r>
      <w:r w:rsidR="00FA1CDE">
        <w:rPr>
          <w:color w:val="455560"/>
          <w:lang w:eastAsia="en-US"/>
        </w:rPr>
        <w:t xml:space="preserve"> and </w:t>
      </w:r>
      <w:r w:rsidRPr="000C04A0">
        <w:rPr>
          <w:color w:val="455560"/>
          <w:lang w:eastAsia="en-US"/>
        </w:rPr>
        <w:t>Savings</w:t>
      </w:r>
      <w:r w:rsidR="00FA1CDE">
        <w:rPr>
          <w:color w:val="455560"/>
          <w:lang w:eastAsia="en-US"/>
        </w:rPr>
        <w:t>) (Scotland)</w:t>
      </w:r>
      <w:r w:rsidRPr="000C04A0">
        <w:rPr>
          <w:color w:val="455560"/>
          <w:lang w:eastAsia="en-US"/>
        </w:rPr>
        <w:t xml:space="preserve"> Regulations 2014 (“the Transitional Regulations”) give the </w:t>
      </w:r>
      <w:r w:rsidR="00DC20CF" w:rsidRPr="000C04A0">
        <w:rPr>
          <w:color w:val="455560"/>
          <w:lang w:eastAsia="en-US"/>
        </w:rPr>
        <w:t>f</w:t>
      </w:r>
      <w:r w:rsidRPr="000C04A0">
        <w:rPr>
          <w:color w:val="455560"/>
          <w:lang w:eastAsia="en-US"/>
        </w:rPr>
        <w:t xml:space="preserve">und the ability to levy a cessation debt on employers who have ceased participation in the </w:t>
      </w:r>
      <w:r w:rsidR="00DC20CF" w:rsidRPr="000C04A0">
        <w:rPr>
          <w:color w:val="455560"/>
          <w:lang w:eastAsia="en-US"/>
        </w:rPr>
        <w:t>f</w:t>
      </w:r>
      <w:r w:rsidRPr="000C04A0">
        <w:rPr>
          <w:color w:val="455560"/>
          <w:lang w:eastAsia="en-US"/>
        </w:rPr>
        <w:t xml:space="preserve">und (under the previous regulations) but for whom a cessation valuation was not carried out at the time. This policy document describes how the </w:t>
      </w:r>
      <w:r w:rsidR="00DC20CF" w:rsidRPr="000C04A0">
        <w:rPr>
          <w:color w:val="455560"/>
          <w:lang w:eastAsia="en-US"/>
        </w:rPr>
        <w:t>f</w:t>
      </w:r>
      <w:r w:rsidRPr="000C04A0">
        <w:rPr>
          <w:color w:val="455560"/>
          <w:lang w:eastAsia="en-US"/>
        </w:rPr>
        <w:t xml:space="preserve">und expects to deal with any such </w:t>
      </w:r>
      <w:r w:rsidRPr="007254CB">
        <w:rPr>
          <w:color w:val="455560"/>
          <w:lang w:eastAsia="en-US"/>
        </w:rPr>
        <w:t>cases.</w:t>
      </w:r>
    </w:p>
    <w:p w14:paraId="3E914D9E" w14:textId="18C12FAA" w:rsidR="006F48DC" w:rsidRDefault="006F48DC" w:rsidP="0044769C">
      <w:pPr>
        <w:pStyle w:val="BodyTextGrey"/>
      </w:pPr>
      <w:r w:rsidRPr="00BC40B1">
        <w:t xml:space="preserve">These regulations relate to all employers in the </w:t>
      </w:r>
      <w:r w:rsidR="00DC20CF">
        <w:t>f</w:t>
      </w:r>
      <w:r w:rsidRPr="00BC40B1">
        <w:t xml:space="preserve">und.       </w:t>
      </w:r>
    </w:p>
    <w:p w14:paraId="7F794CD6" w14:textId="77777777" w:rsidR="00FE4E68" w:rsidRPr="005C24AE" w:rsidRDefault="00FE4E68" w:rsidP="005C24AE">
      <w:pPr>
        <w:pStyle w:val="Heading1Num"/>
      </w:pPr>
      <w:r w:rsidRPr="005C24AE">
        <w:t>Statement of Principles</w:t>
      </w:r>
      <w:bookmarkEnd w:id="12"/>
      <w:r w:rsidRPr="005C24AE">
        <w:t xml:space="preserve"> </w:t>
      </w:r>
    </w:p>
    <w:p w14:paraId="76E767FF" w14:textId="7E59F87A" w:rsidR="006F48DC" w:rsidRDefault="006F48DC" w:rsidP="006F48DC">
      <w:pPr>
        <w:pStyle w:val="BodyTextGrey"/>
      </w:pPr>
      <w:r>
        <w:t xml:space="preserve">This Statement of Principles covers the </w:t>
      </w:r>
      <w:r w:rsidR="00DC20CF">
        <w:t>f</w:t>
      </w:r>
      <w:r>
        <w:t xml:space="preserve">und’s approach to </w:t>
      </w:r>
      <w:r w:rsidR="00DC20CF">
        <w:t>e</w:t>
      </w:r>
      <w:r>
        <w:t xml:space="preserve">xiting </w:t>
      </w:r>
      <w:r w:rsidR="00DC20CF">
        <w:t>e</w:t>
      </w:r>
      <w:r>
        <w:t>mployers.  Each case will be treated on its own merits but in general:</w:t>
      </w:r>
    </w:p>
    <w:p w14:paraId="268D91E2" w14:textId="020687C7" w:rsidR="006F48DC" w:rsidRPr="000A68EC" w:rsidRDefault="006F48DC" w:rsidP="00D80D1C">
      <w:pPr>
        <w:pStyle w:val="BodyTextGrey"/>
        <w:numPr>
          <w:ilvl w:val="0"/>
          <w:numId w:val="21"/>
        </w:numPr>
      </w:pPr>
      <w:r>
        <w:t>i</w:t>
      </w:r>
      <w:r w:rsidRPr="000E00C8">
        <w:t xml:space="preserve">t is the </w:t>
      </w:r>
      <w:r w:rsidR="00DC20CF">
        <w:t>f</w:t>
      </w:r>
      <w:r w:rsidRPr="000E00C8">
        <w:t xml:space="preserve">und’s policy that the determination of any surplus or deficit on </w:t>
      </w:r>
      <w:r w:rsidR="002F0F03">
        <w:t>exit</w:t>
      </w:r>
      <w:r w:rsidR="002F0F03" w:rsidRPr="000E00C8">
        <w:t xml:space="preserve"> </w:t>
      </w:r>
      <w:r w:rsidRPr="000E00C8">
        <w:t xml:space="preserve">should aim to minimise, as far as is practicable, the risk that the remaining, unconnected employers in the </w:t>
      </w:r>
      <w:r w:rsidR="00932377">
        <w:t>f</w:t>
      </w:r>
      <w:r w:rsidRPr="000E00C8">
        <w:t xml:space="preserve">und </w:t>
      </w:r>
      <w:proofErr w:type="gramStart"/>
      <w:r w:rsidRPr="000E00C8">
        <w:t>have to</w:t>
      </w:r>
      <w:proofErr w:type="gramEnd"/>
      <w:r w:rsidRPr="000E00C8">
        <w:t xml:space="preserve"> make contributions in future towards meeting the past service liabilities of current and former employees of employers leaving the </w:t>
      </w:r>
      <w:r w:rsidR="00DC20CF">
        <w:t>f</w:t>
      </w:r>
      <w:r w:rsidRPr="000E00C8">
        <w:t>und</w:t>
      </w:r>
      <w:r w:rsidR="001149FA">
        <w:t>.</w:t>
      </w:r>
    </w:p>
    <w:p w14:paraId="2022427A" w14:textId="393B592C" w:rsidR="006F48DC" w:rsidRDefault="006F48DC" w:rsidP="00D80D1C">
      <w:pPr>
        <w:pStyle w:val="BodyTextGrey"/>
        <w:numPr>
          <w:ilvl w:val="0"/>
          <w:numId w:val="21"/>
        </w:numPr>
      </w:pPr>
      <w:r>
        <w:t xml:space="preserve">the </w:t>
      </w:r>
      <w:r w:rsidR="00DC20CF">
        <w:t>f</w:t>
      </w:r>
      <w:r>
        <w:t xml:space="preserve">und’s preferred approach is to request the full </w:t>
      </w:r>
      <w:r w:rsidRPr="0046457E">
        <w:t xml:space="preserve">payment of any </w:t>
      </w:r>
      <w:r w:rsidR="00DC20CF" w:rsidRPr="0046457E">
        <w:t>e</w:t>
      </w:r>
      <w:r w:rsidRPr="0046457E">
        <w:t xml:space="preserve">xit </w:t>
      </w:r>
      <w:r w:rsidR="00DC20CF" w:rsidRPr="0046457E">
        <w:t>d</w:t>
      </w:r>
      <w:r w:rsidRPr="0046457E">
        <w:t>ebt (</w:t>
      </w:r>
      <w:r w:rsidR="002F0F03" w:rsidRPr="0046457E">
        <w:t xml:space="preserve">an </w:t>
      </w:r>
      <w:r w:rsidR="00DC20CF" w:rsidRPr="0046457E">
        <w:t>e</w:t>
      </w:r>
      <w:r w:rsidRPr="0046457E">
        <w:t xml:space="preserve">xit </w:t>
      </w:r>
      <w:r w:rsidR="00DC20CF" w:rsidRPr="0046457E">
        <w:t>p</w:t>
      </w:r>
      <w:r w:rsidRPr="0046457E">
        <w:t xml:space="preserve">ayment), which is calculated by the </w:t>
      </w:r>
      <w:r w:rsidR="001A718E" w:rsidRPr="0046457E">
        <w:t>a</w:t>
      </w:r>
      <w:r w:rsidRPr="0046457E">
        <w:t xml:space="preserve">ctuary on the </w:t>
      </w:r>
      <w:r w:rsidR="00343B3D" w:rsidRPr="0046457E">
        <w:t xml:space="preserve">appropriate </w:t>
      </w:r>
      <w:r w:rsidRPr="0046457E">
        <w:t>basis</w:t>
      </w:r>
      <w:r w:rsidR="00343B3D" w:rsidRPr="0046457E">
        <w:t xml:space="preserve"> (as per the FSS and Section 3.1 below).</w:t>
      </w:r>
      <w:r w:rsidR="00343B3D">
        <w:t xml:space="preserve">  </w:t>
      </w:r>
      <w:r>
        <w:t xml:space="preserve">This would extinguish any liability to the </w:t>
      </w:r>
      <w:r w:rsidR="00DC20CF">
        <w:t>f</w:t>
      </w:r>
      <w:r>
        <w:t xml:space="preserve">und by the </w:t>
      </w:r>
      <w:r w:rsidR="00DC20CF">
        <w:t>e</w:t>
      </w:r>
      <w:r>
        <w:t xml:space="preserve">xiting </w:t>
      </w:r>
      <w:r w:rsidR="00DC20CF">
        <w:t>e</w:t>
      </w:r>
      <w:r>
        <w:t>mployer</w:t>
      </w:r>
      <w:r w:rsidR="001149FA">
        <w:t>.</w:t>
      </w:r>
    </w:p>
    <w:p w14:paraId="5D5CFEB6" w14:textId="71DE629C" w:rsidR="006F48DC" w:rsidRDefault="006F48DC" w:rsidP="00D80D1C">
      <w:pPr>
        <w:pStyle w:val="BodyTextGrey"/>
        <w:numPr>
          <w:ilvl w:val="0"/>
          <w:numId w:val="21"/>
        </w:numPr>
      </w:pPr>
      <w:r>
        <w:t xml:space="preserve">the </w:t>
      </w:r>
      <w:r w:rsidR="00DC20CF">
        <w:t>f</w:t>
      </w:r>
      <w:r>
        <w:t xml:space="preserve">und’s key objective is to protect the interests of the </w:t>
      </w:r>
      <w:r w:rsidR="00DC20CF">
        <w:t>f</w:t>
      </w:r>
      <w:r>
        <w:t>und, which is aligned to protecting the interests of the remaining employers</w:t>
      </w:r>
      <w:r w:rsidR="009668CA">
        <w:t xml:space="preserve"> who are ultimately responsible for meeting any additional costs arising in respect of </w:t>
      </w:r>
      <w:r w:rsidR="00484FC9">
        <w:t>the pension obligations of ceased employers</w:t>
      </w:r>
      <w:r>
        <w:t xml:space="preserve">. A secondary objective is to consider the circumstances of the </w:t>
      </w:r>
      <w:r w:rsidR="00DC20CF">
        <w:t>e</w:t>
      </w:r>
      <w:r>
        <w:t xml:space="preserve">xiting </w:t>
      </w:r>
      <w:r w:rsidR="00DC20CF">
        <w:t>e</w:t>
      </w:r>
      <w:r>
        <w:t xml:space="preserve">mployer in determining arrangements for the recovery of </w:t>
      </w:r>
      <w:r w:rsidR="3B1C1D17">
        <w:t xml:space="preserve">any cessation </w:t>
      </w:r>
      <w:r w:rsidR="00DC20CF">
        <w:t>d</w:t>
      </w:r>
      <w:r>
        <w:t>ebt.</w:t>
      </w:r>
    </w:p>
    <w:p w14:paraId="46CDA5C9" w14:textId="0E276B9C" w:rsidR="00755D3D" w:rsidRDefault="00755D3D">
      <w:pPr>
        <w:spacing w:after="20" w:line="240" w:lineRule="auto"/>
        <w:jc w:val="left"/>
        <w:rPr>
          <w:color w:val="455560"/>
          <w:lang w:eastAsia="en-US"/>
        </w:rPr>
      </w:pPr>
      <w:r>
        <w:br w:type="page"/>
      </w:r>
    </w:p>
    <w:p w14:paraId="5E4008AA" w14:textId="2E20669B" w:rsidR="00755D3D" w:rsidRPr="005C24AE" w:rsidRDefault="00755D3D" w:rsidP="005C24AE">
      <w:pPr>
        <w:pStyle w:val="Heading1Num"/>
      </w:pPr>
      <w:bookmarkStart w:id="13" w:name="_Policy"/>
      <w:bookmarkStart w:id="14" w:name="_Toc86052005"/>
      <w:bookmarkEnd w:id="13"/>
      <w:r w:rsidRPr="005C24AE">
        <w:lastRenderedPageBreak/>
        <w:t>Polic</w:t>
      </w:r>
      <w:bookmarkEnd w:id="14"/>
      <w:r w:rsidR="005C24AE">
        <w:t>ies</w:t>
      </w:r>
    </w:p>
    <w:p w14:paraId="4ED24AFD" w14:textId="34D8C51A" w:rsidR="006F48DC" w:rsidRDefault="006F48DC" w:rsidP="006F48DC">
      <w:pPr>
        <w:pStyle w:val="BodyTextGrey"/>
      </w:pPr>
      <w:r w:rsidRPr="00C329F9">
        <w:t xml:space="preserve">On cessation, the </w:t>
      </w:r>
      <w:r w:rsidR="00DC20CF" w:rsidRPr="00C329F9">
        <w:t>a</w:t>
      </w:r>
      <w:r w:rsidRPr="00C329F9">
        <w:t xml:space="preserve">dministering </w:t>
      </w:r>
      <w:r w:rsidR="00DC20CF" w:rsidRPr="00C329F9">
        <w:t>a</w:t>
      </w:r>
      <w:r w:rsidRPr="00C329F9">
        <w:t xml:space="preserve">uthority will instruct the </w:t>
      </w:r>
      <w:r w:rsidR="00DC20CF" w:rsidRPr="00C329F9">
        <w:t>f</w:t>
      </w:r>
      <w:r w:rsidRPr="00C329F9">
        <w:t xml:space="preserve">und actuary </w:t>
      </w:r>
      <w:r w:rsidRPr="0046457E">
        <w:t>to carry out a cessation valuation to determine whether there is any deficit or surplus</w:t>
      </w:r>
      <w:r w:rsidR="00732B2F" w:rsidRPr="0046457E">
        <w:t xml:space="preserve"> as defined in the FSS</w:t>
      </w:r>
      <w:r w:rsidRPr="0046457E">
        <w:t>.</w:t>
      </w:r>
    </w:p>
    <w:p w14:paraId="7EABAA85" w14:textId="325A881D" w:rsidR="00120909" w:rsidRDefault="006F48DC" w:rsidP="006F48DC">
      <w:pPr>
        <w:pStyle w:val="BodyTextGrey"/>
      </w:pPr>
      <w:r w:rsidRPr="00881D83">
        <w:t xml:space="preserve">Where there is a deficit, payment of this amount in full would normally be sought from the </w:t>
      </w:r>
      <w:r w:rsidR="00DC20CF">
        <w:t>e</w:t>
      </w:r>
      <w:r w:rsidR="00343B3D">
        <w:t xml:space="preserve">xiting </w:t>
      </w:r>
      <w:r w:rsidR="00DC20CF">
        <w:t>e</w:t>
      </w:r>
      <w:r w:rsidR="00343B3D">
        <w:t>mployer</w:t>
      </w:r>
      <w:r w:rsidRPr="00881D83">
        <w:t xml:space="preserve">.   The </w:t>
      </w:r>
      <w:r w:rsidR="00DC20CF">
        <w:t>f</w:t>
      </w:r>
      <w:r w:rsidRPr="00881D83">
        <w:t xml:space="preserve">und’s normal policy is that this cessation debt is paid in full in a single lump sum within 28 days of the employer being notified.  </w:t>
      </w:r>
    </w:p>
    <w:p w14:paraId="7493A213" w14:textId="10B31905" w:rsidR="006F48DC" w:rsidRDefault="006F48DC" w:rsidP="006F48DC">
      <w:pPr>
        <w:pStyle w:val="BodyTextGrey"/>
      </w:pPr>
      <w:r w:rsidRPr="00D0680B">
        <w:t xml:space="preserve">However, the </w:t>
      </w:r>
      <w:r w:rsidR="00DC20CF" w:rsidRPr="00D0680B">
        <w:t>f</w:t>
      </w:r>
      <w:r w:rsidRPr="00D0680B">
        <w:t xml:space="preserve">und will consider written requests from employers to spread the payment over an agreed period, in the exceptional circumstance where payment of the debt in a single immediate lump sum could be shown by the employer to be materially detrimental to the employer’s financial situation (see </w:t>
      </w:r>
      <w:hyperlink w:anchor="_Deferred_spreading_arrangement" w:history="1">
        <w:r w:rsidR="00343B3D" w:rsidRPr="00D0680B">
          <w:rPr>
            <w:rStyle w:val="Hyperlink"/>
          </w:rPr>
          <w:t>3.</w:t>
        </w:r>
        <w:r w:rsidR="00120909" w:rsidRPr="00D0680B">
          <w:rPr>
            <w:rStyle w:val="Hyperlink"/>
          </w:rPr>
          <w:t>2</w:t>
        </w:r>
        <w:r w:rsidR="00343B3D" w:rsidRPr="00D0680B">
          <w:rPr>
            <w:rStyle w:val="Hyperlink"/>
          </w:rPr>
          <w:t xml:space="preserve"> </w:t>
        </w:r>
        <w:r w:rsidR="00941FB4" w:rsidRPr="00D0680B">
          <w:rPr>
            <w:rStyle w:val="Hyperlink"/>
          </w:rPr>
          <w:t xml:space="preserve">Repayment </w:t>
        </w:r>
        <w:r w:rsidRPr="00D0680B">
          <w:rPr>
            <w:rStyle w:val="Hyperlink"/>
          </w:rPr>
          <w:t xml:space="preserve">flexibility on exit </w:t>
        </w:r>
        <w:r w:rsidR="00941FB4" w:rsidRPr="00D0680B">
          <w:rPr>
            <w:rStyle w:val="Hyperlink"/>
          </w:rPr>
          <w:t>payments</w:t>
        </w:r>
      </w:hyperlink>
      <w:r w:rsidRPr="00D0680B">
        <w:t xml:space="preserve"> below).</w:t>
      </w:r>
    </w:p>
    <w:p w14:paraId="5EBDBA39" w14:textId="42106B5A" w:rsidR="006F48DC" w:rsidRDefault="006F48DC" w:rsidP="006F48DC">
      <w:pPr>
        <w:pStyle w:val="BodyTextGrey"/>
      </w:pPr>
      <w:r w:rsidRPr="00D0680B">
        <w:t xml:space="preserve">In circumstances where there is a surplus, the </w:t>
      </w:r>
      <w:r w:rsidR="00DC20CF" w:rsidRPr="00D0680B">
        <w:t>a</w:t>
      </w:r>
      <w:r w:rsidRPr="00D0680B">
        <w:t xml:space="preserve">dministering </w:t>
      </w:r>
      <w:r w:rsidR="00DC20CF" w:rsidRPr="00D0680B">
        <w:t>a</w:t>
      </w:r>
      <w:r w:rsidRPr="00D0680B">
        <w:t xml:space="preserve">uthority will determine the amount of exit credit to be paid to the </w:t>
      </w:r>
      <w:r w:rsidR="00DC20CF" w:rsidRPr="00D0680B">
        <w:t>e</w:t>
      </w:r>
      <w:r w:rsidR="002F0F03" w:rsidRPr="00D0680B">
        <w:t xml:space="preserve">xiting </w:t>
      </w:r>
      <w:r w:rsidR="00DC20CF" w:rsidRPr="00D0680B">
        <w:t>e</w:t>
      </w:r>
      <w:r w:rsidR="002F0F03" w:rsidRPr="00D0680B">
        <w:t>mployer</w:t>
      </w:r>
      <w:r w:rsidR="000B31B8">
        <w:t xml:space="preserve"> in line </w:t>
      </w:r>
      <w:r w:rsidR="00B73BB0">
        <w:t>with the Regulations</w:t>
      </w:r>
      <w:r w:rsidRPr="00D0680B">
        <w:t>.</w:t>
      </w:r>
      <w:r w:rsidRPr="00DD1025">
        <w:t xml:space="preserve">  </w:t>
      </w:r>
    </w:p>
    <w:p w14:paraId="537325CD" w14:textId="1C19C056" w:rsidR="00E506B2" w:rsidRDefault="002F0F03" w:rsidP="00E506B2">
      <w:pPr>
        <w:pStyle w:val="Heading2Num"/>
        <w:numPr>
          <w:ilvl w:val="1"/>
          <w:numId w:val="1"/>
        </w:numPr>
      </w:pPr>
      <w:r>
        <w:t>Approach to c</w:t>
      </w:r>
      <w:r w:rsidR="00E506B2">
        <w:t>essation</w:t>
      </w:r>
      <w:r>
        <w:t xml:space="preserve"> </w:t>
      </w:r>
      <w:proofErr w:type="gramStart"/>
      <w:r>
        <w:t>calculations</w:t>
      </w:r>
      <w:proofErr w:type="gramEnd"/>
      <w:r>
        <w:t xml:space="preserve"> </w:t>
      </w:r>
    </w:p>
    <w:p w14:paraId="037E0D6E" w14:textId="1AE3ED1C" w:rsidR="00E506B2" w:rsidRPr="005C24AE" w:rsidRDefault="00E506B2" w:rsidP="005C24AE">
      <w:pPr>
        <w:pStyle w:val="BodyTextGrey"/>
      </w:pPr>
      <w:r w:rsidRPr="005C24AE">
        <w:t xml:space="preserve">Cessation valuations are carried out on a case-by-case basis at the sole discretion of the </w:t>
      </w:r>
      <w:r w:rsidR="00DC20CF">
        <w:t>f</w:t>
      </w:r>
      <w:r w:rsidRPr="005C24AE">
        <w:t>und depending on the exiting employer’s circumstances.  However, in general the following broad principles and assumptions may apply, as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3574"/>
        <w:gridCol w:w="3574"/>
      </w:tblGrid>
      <w:tr w:rsidR="00E506B2" w:rsidRPr="009E6647" w14:paraId="482E7620" w14:textId="77777777" w:rsidTr="591A48CA">
        <w:trPr>
          <w:trHeight w:val="458"/>
          <w:tblHeader/>
        </w:trPr>
        <w:tc>
          <w:tcPr>
            <w:tcW w:w="1398" w:type="pct"/>
            <w:tcBorders>
              <w:top w:val="nil"/>
              <w:left w:val="nil"/>
              <w:bottom w:val="single" w:sz="12" w:space="0" w:color="F06A00" w:themeColor="accent1"/>
              <w:right w:val="nil"/>
            </w:tcBorders>
            <w:vAlign w:val="center"/>
          </w:tcPr>
          <w:p w14:paraId="332AD98C" w14:textId="77777777" w:rsidR="00E506B2" w:rsidRPr="005C24AE" w:rsidRDefault="00E506B2" w:rsidP="00DC3ADC">
            <w:pPr>
              <w:pStyle w:val="BodyTextGrey"/>
              <w:spacing w:after="20" w:line="240" w:lineRule="auto"/>
              <w:rPr>
                <w:b/>
                <w:color w:val="3FA6CC" w:themeColor="text1"/>
              </w:rPr>
            </w:pPr>
            <w:r w:rsidRPr="005C24AE">
              <w:rPr>
                <w:b/>
                <w:color w:val="3FA6CC" w:themeColor="text1"/>
              </w:rPr>
              <w:t>Type of employer</w:t>
            </w:r>
          </w:p>
        </w:tc>
        <w:tc>
          <w:tcPr>
            <w:tcW w:w="1801" w:type="pct"/>
            <w:tcBorders>
              <w:top w:val="nil"/>
              <w:left w:val="nil"/>
              <w:bottom w:val="single" w:sz="12" w:space="0" w:color="F06A00" w:themeColor="accent1"/>
              <w:right w:val="nil"/>
            </w:tcBorders>
            <w:vAlign w:val="center"/>
          </w:tcPr>
          <w:p w14:paraId="0DE898C5" w14:textId="77777777" w:rsidR="00E506B2" w:rsidRPr="005C24AE" w:rsidRDefault="00E506B2" w:rsidP="00DC3ADC">
            <w:pPr>
              <w:pStyle w:val="BodyTextGrey"/>
              <w:spacing w:after="20" w:line="240" w:lineRule="auto"/>
              <w:rPr>
                <w:b/>
                <w:color w:val="3FA6CC" w:themeColor="text1"/>
              </w:rPr>
            </w:pPr>
            <w:r w:rsidRPr="005C24AE">
              <w:rPr>
                <w:b/>
                <w:color w:val="3FA6CC" w:themeColor="text1"/>
              </w:rPr>
              <w:t xml:space="preserve">Cessation exit basis </w:t>
            </w:r>
          </w:p>
        </w:tc>
        <w:tc>
          <w:tcPr>
            <w:tcW w:w="1801" w:type="pct"/>
            <w:tcBorders>
              <w:top w:val="nil"/>
              <w:left w:val="nil"/>
              <w:bottom w:val="single" w:sz="12" w:space="0" w:color="F06A00" w:themeColor="accent1"/>
              <w:right w:val="nil"/>
            </w:tcBorders>
          </w:tcPr>
          <w:p w14:paraId="2F3966EE" w14:textId="4EAA91D6" w:rsidR="00E506B2" w:rsidRPr="005C24AE" w:rsidRDefault="00E506B2" w:rsidP="00DC3ADC">
            <w:pPr>
              <w:pStyle w:val="BodyTextGrey"/>
              <w:spacing w:after="20" w:line="240" w:lineRule="auto"/>
              <w:rPr>
                <w:b/>
                <w:color w:val="3FA6CC" w:themeColor="text1"/>
              </w:rPr>
            </w:pPr>
            <w:r w:rsidRPr="005C24AE">
              <w:rPr>
                <w:b/>
                <w:color w:val="3FA6CC" w:themeColor="text1"/>
              </w:rPr>
              <w:t xml:space="preserve">Responsible parties for unpaid or future deficit </w:t>
            </w:r>
            <w:r w:rsidR="00E267DE">
              <w:rPr>
                <w:b/>
                <w:color w:val="3FA6CC" w:themeColor="text1"/>
              </w:rPr>
              <w:t>emerging</w:t>
            </w:r>
          </w:p>
        </w:tc>
      </w:tr>
      <w:tr w:rsidR="00E506B2" w:rsidRPr="009E6647" w14:paraId="371A67D2" w14:textId="77777777" w:rsidTr="591A48CA">
        <w:tc>
          <w:tcPr>
            <w:tcW w:w="1398" w:type="pct"/>
            <w:tcBorders>
              <w:top w:val="single" w:sz="12" w:space="0" w:color="F06A00" w:themeColor="accent1"/>
              <w:left w:val="nil"/>
              <w:bottom w:val="single" w:sz="8" w:space="0" w:color="646464" w:themeColor="accent5"/>
              <w:right w:val="nil"/>
            </w:tcBorders>
          </w:tcPr>
          <w:p w14:paraId="39769646" w14:textId="23349F74" w:rsidR="00E506B2" w:rsidRPr="009E6647" w:rsidRDefault="00234C73" w:rsidP="00DC3ADC">
            <w:pPr>
              <w:pStyle w:val="BodyTextGrey"/>
            </w:pPr>
            <w:r>
              <w:t>Scheduled Bodies</w:t>
            </w:r>
          </w:p>
        </w:tc>
        <w:tc>
          <w:tcPr>
            <w:tcW w:w="1801" w:type="pct"/>
            <w:tcBorders>
              <w:top w:val="single" w:sz="12" w:space="0" w:color="F06A00" w:themeColor="accent1"/>
              <w:left w:val="nil"/>
              <w:bottom w:val="single" w:sz="8" w:space="0" w:color="646464" w:themeColor="accent5"/>
              <w:right w:val="nil"/>
            </w:tcBorders>
          </w:tcPr>
          <w:p w14:paraId="156FBD72" w14:textId="77777777" w:rsidR="00E506B2" w:rsidRPr="009E6647" w:rsidRDefault="00E506B2" w:rsidP="00DC3ADC">
            <w:pPr>
              <w:pStyle w:val="BodyTextGrey"/>
            </w:pPr>
            <w:r>
              <w:t>Low risk basis</w:t>
            </w:r>
            <w:r w:rsidRPr="00954D8E">
              <w:rPr>
                <w:vertAlign w:val="superscript"/>
              </w:rPr>
              <w:t>1</w:t>
            </w:r>
          </w:p>
        </w:tc>
        <w:tc>
          <w:tcPr>
            <w:tcW w:w="1801" w:type="pct"/>
            <w:tcBorders>
              <w:top w:val="single" w:sz="12" w:space="0" w:color="F06A00" w:themeColor="accent1"/>
              <w:left w:val="nil"/>
              <w:bottom w:val="single" w:sz="8" w:space="0" w:color="646464" w:themeColor="accent5"/>
              <w:right w:val="nil"/>
            </w:tcBorders>
          </w:tcPr>
          <w:p w14:paraId="7AC372DC" w14:textId="77777777" w:rsidR="00E506B2" w:rsidRPr="009E6647" w:rsidRDefault="00E506B2" w:rsidP="00DC3ADC">
            <w:pPr>
              <w:pStyle w:val="BodyTextGrey"/>
            </w:pPr>
            <w:r>
              <w:t xml:space="preserve">Shared between other fund employers </w:t>
            </w:r>
          </w:p>
        </w:tc>
      </w:tr>
      <w:tr w:rsidR="00E506B2" w:rsidRPr="009E6647" w14:paraId="74A039F1" w14:textId="77777777" w:rsidTr="591A48CA">
        <w:tc>
          <w:tcPr>
            <w:tcW w:w="1398" w:type="pct"/>
            <w:tcBorders>
              <w:top w:val="single" w:sz="8" w:space="0" w:color="646464" w:themeColor="accent5"/>
              <w:left w:val="nil"/>
              <w:bottom w:val="single" w:sz="8" w:space="0" w:color="646464" w:themeColor="accent5"/>
              <w:right w:val="nil"/>
            </w:tcBorders>
          </w:tcPr>
          <w:p w14:paraId="6D40D83A" w14:textId="4B4C760B" w:rsidR="00E506B2" w:rsidRPr="009E6647" w:rsidRDefault="00E506B2" w:rsidP="00DC3ADC">
            <w:pPr>
              <w:pStyle w:val="BodyTextGrey"/>
            </w:pPr>
            <w:r w:rsidRPr="009E6647">
              <w:t>Admission bodies (</w:t>
            </w:r>
            <w:r w:rsidR="00C82B4A">
              <w:t>“</w:t>
            </w:r>
            <w:r w:rsidRPr="009E6647">
              <w:t>TABs</w:t>
            </w:r>
            <w:r w:rsidR="00C82B4A">
              <w:t>” – typically contractors</w:t>
            </w:r>
            <w:r>
              <w:t>)</w:t>
            </w:r>
          </w:p>
        </w:tc>
        <w:tc>
          <w:tcPr>
            <w:tcW w:w="1801" w:type="pct"/>
            <w:tcBorders>
              <w:top w:val="single" w:sz="8" w:space="0" w:color="646464" w:themeColor="accent5"/>
              <w:left w:val="nil"/>
              <w:bottom w:val="single" w:sz="8" w:space="0" w:color="646464" w:themeColor="accent5"/>
              <w:right w:val="nil"/>
            </w:tcBorders>
          </w:tcPr>
          <w:p w14:paraId="6BB422E7" w14:textId="470EB855" w:rsidR="00E506B2" w:rsidRPr="005C24AE" w:rsidRDefault="00E506B2" w:rsidP="00DC3ADC">
            <w:pPr>
              <w:pStyle w:val="BodyTextGrey"/>
            </w:pPr>
            <w:r w:rsidRPr="004F52C0">
              <w:t>Ongoing basis</w:t>
            </w:r>
            <w:r w:rsidRPr="004F52C0">
              <w:rPr>
                <w:vertAlign w:val="superscript"/>
              </w:rPr>
              <w:t>2</w:t>
            </w:r>
          </w:p>
        </w:tc>
        <w:tc>
          <w:tcPr>
            <w:tcW w:w="1801" w:type="pct"/>
            <w:tcBorders>
              <w:top w:val="single" w:sz="8" w:space="0" w:color="646464" w:themeColor="accent5"/>
              <w:left w:val="nil"/>
              <w:bottom w:val="single" w:sz="8" w:space="0" w:color="646464" w:themeColor="accent5"/>
              <w:right w:val="nil"/>
            </w:tcBorders>
          </w:tcPr>
          <w:p w14:paraId="78ABDF3E" w14:textId="77777777" w:rsidR="00E506B2" w:rsidRPr="005C24AE" w:rsidRDefault="00E506B2" w:rsidP="00DC3ADC">
            <w:pPr>
              <w:pStyle w:val="BodyTextGrey"/>
            </w:pPr>
            <w:r w:rsidRPr="005C24AE">
              <w:t>Letting authority (where applicable), otherwise shared between other fund employers</w:t>
            </w:r>
          </w:p>
        </w:tc>
      </w:tr>
      <w:tr w:rsidR="00E506B2" w14:paraId="766E3A3A" w14:textId="77777777" w:rsidTr="591A48CA">
        <w:tc>
          <w:tcPr>
            <w:tcW w:w="1398" w:type="pct"/>
            <w:tcBorders>
              <w:top w:val="single" w:sz="8" w:space="0" w:color="646464" w:themeColor="accent5"/>
              <w:left w:val="nil"/>
              <w:bottom w:val="single" w:sz="8" w:space="0" w:color="646464" w:themeColor="accent5"/>
              <w:right w:val="nil"/>
            </w:tcBorders>
          </w:tcPr>
          <w:p w14:paraId="41DBCC76" w14:textId="59E898BB" w:rsidR="00E506B2" w:rsidRPr="009E6647" w:rsidRDefault="00E506B2" w:rsidP="00DC3ADC">
            <w:pPr>
              <w:pStyle w:val="BodyTextGrey"/>
            </w:pPr>
            <w:r w:rsidRPr="009E6647">
              <w:t>Admission bodies (</w:t>
            </w:r>
            <w:r w:rsidR="00C82B4A">
              <w:t>“</w:t>
            </w:r>
            <w:r>
              <w:t>C</w:t>
            </w:r>
            <w:r w:rsidRPr="009E6647">
              <w:t>ABs</w:t>
            </w:r>
            <w:r w:rsidR="00C82B4A">
              <w:t xml:space="preserve">” – typically any </w:t>
            </w:r>
            <w:r w:rsidR="009056E7">
              <w:t>ABs other than contractors</w:t>
            </w:r>
            <w:r>
              <w:t>)</w:t>
            </w:r>
          </w:p>
        </w:tc>
        <w:tc>
          <w:tcPr>
            <w:tcW w:w="1801" w:type="pct"/>
            <w:tcBorders>
              <w:top w:val="single" w:sz="8" w:space="0" w:color="646464" w:themeColor="accent5"/>
              <w:left w:val="nil"/>
              <w:bottom w:val="single" w:sz="8" w:space="0" w:color="646464" w:themeColor="accent5"/>
              <w:right w:val="nil"/>
            </w:tcBorders>
          </w:tcPr>
          <w:p w14:paraId="283F92BA" w14:textId="77777777" w:rsidR="00E506B2" w:rsidRPr="005C24AE" w:rsidRDefault="00E506B2" w:rsidP="00DC3ADC">
            <w:pPr>
              <w:pStyle w:val="BodyTextGrey"/>
            </w:pPr>
            <w:r w:rsidRPr="005C24AE">
              <w:t>Low risk basis</w:t>
            </w:r>
          </w:p>
        </w:tc>
        <w:tc>
          <w:tcPr>
            <w:tcW w:w="1801" w:type="pct"/>
            <w:tcBorders>
              <w:top w:val="single" w:sz="8" w:space="0" w:color="646464" w:themeColor="accent5"/>
              <w:left w:val="nil"/>
              <w:bottom w:val="single" w:sz="8" w:space="0" w:color="646464" w:themeColor="accent5"/>
              <w:right w:val="nil"/>
            </w:tcBorders>
          </w:tcPr>
          <w:p w14:paraId="29ECA477" w14:textId="6C13FAA2" w:rsidR="00E506B2" w:rsidRDefault="00E506B2" w:rsidP="00DC3ADC">
            <w:pPr>
              <w:pStyle w:val="BodyTextGrey"/>
              <w:rPr>
                <w:highlight w:val="yellow"/>
              </w:rPr>
            </w:pPr>
            <w:r>
              <w:t>Shared between other fund employers</w:t>
            </w:r>
            <w:r w:rsidR="005B1592">
              <w:t xml:space="preserve"> (if no guarantor exists)</w:t>
            </w:r>
          </w:p>
        </w:tc>
      </w:tr>
    </w:tbl>
    <w:p w14:paraId="7ED5DB6D" w14:textId="3AF24B18" w:rsidR="00E506B2" w:rsidRPr="00DC5949" w:rsidRDefault="00E506B2" w:rsidP="00E506B2">
      <w:pPr>
        <w:pStyle w:val="BodyTextGrey"/>
      </w:pPr>
      <w:r w:rsidRPr="00954D8E">
        <w:rPr>
          <w:sz w:val="18"/>
          <w:szCs w:val="18"/>
          <w:vertAlign w:val="superscript"/>
        </w:rPr>
        <w:t>1</w:t>
      </w:r>
      <w:r w:rsidRPr="00950CF9">
        <w:rPr>
          <w:sz w:val="18"/>
          <w:szCs w:val="18"/>
        </w:rPr>
        <w:t>Cessation is assumed not to be generally possible, as Scheduled Bodies are legally obliged to participate in the LGPS.  In the rare event of cessation occurring (</w:t>
      </w:r>
      <w:r w:rsidR="002F0F03">
        <w:rPr>
          <w:sz w:val="18"/>
          <w:szCs w:val="18"/>
        </w:rPr>
        <w:t xml:space="preserve">e.g. </w:t>
      </w:r>
      <w:r w:rsidRPr="00950CF9">
        <w:rPr>
          <w:sz w:val="18"/>
          <w:szCs w:val="18"/>
        </w:rPr>
        <w:t>machinery of Government changes), the</w:t>
      </w:r>
      <w:r>
        <w:rPr>
          <w:sz w:val="18"/>
          <w:szCs w:val="18"/>
        </w:rPr>
        <w:t>se</w:t>
      </w:r>
      <w:r w:rsidRPr="00950CF9">
        <w:rPr>
          <w:sz w:val="18"/>
          <w:szCs w:val="18"/>
        </w:rPr>
        <w:t xml:space="preserve"> cessation principles </w:t>
      </w:r>
      <w:r>
        <w:rPr>
          <w:sz w:val="18"/>
          <w:szCs w:val="18"/>
        </w:rPr>
        <w:t>would apply</w:t>
      </w:r>
      <w:r w:rsidR="00120909">
        <w:rPr>
          <w:sz w:val="18"/>
          <w:szCs w:val="18"/>
        </w:rPr>
        <w:t>.</w:t>
      </w:r>
      <w:r>
        <w:rPr>
          <w:sz w:val="18"/>
          <w:szCs w:val="18"/>
        </w:rPr>
        <w:t xml:space="preserve"> </w:t>
      </w:r>
    </w:p>
    <w:p w14:paraId="6D4FCFF8" w14:textId="3E6FA53D" w:rsidR="00E506B2" w:rsidRDefault="00E506B2" w:rsidP="00E506B2">
      <w:pPr>
        <w:pStyle w:val="BodyTextGrey"/>
        <w:rPr>
          <w:sz w:val="18"/>
          <w:szCs w:val="18"/>
        </w:rPr>
      </w:pPr>
      <w:r w:rsidRPr="00954D8E">
        <w:rPr>
          <w:vertAlign w:val="superscript"/>
        </w:rPr>
        <w:t>2</w:t>
      </w:r>
      <w:r>
        <w:rPr>
          <w:sz w:val="18"/>
          <w:szCs w:val="18"/>
        </w:rPr>
        <w:t>W</w:t>
      </w:r>
      <w:r w:rsidRPr="00954D8E">
        <w:rPr>
          <w:sz w:val="18"/>
          <w:szCs w:val="18"/>
        </w:rPr>
        <w:t xml:space="preserve">here a TAB has taken, in the view of the </w:t>
      </w:r>
      <w:r w:rsidR="00DC20CF">
        <w:rPr>
          <w:sz w:val="18"/>
          <w:szCs w:val="18"/>
        </w:rPr>
        <w:t>a</w:t>
      </w:r>
      <w:r w:rsidRPr="00954D8E">
        <w:rPr>
          <w:sz w:val="18"/>
          <w:szCs w:val="18"/>
        </w:rPr>
        <w:t xml:space="preserve">dministering </w:t>
      </w:r>
      <w:r w:rsidR="00DC20CF">
        <w:rPr>
          <w:sz w:val="18"/>
          <w:szCs w:val="18"/>
        </w:rPr>
        <w:t>a</w:t>
      </w:r>
      <w:r w:rsidRPr="00954D8E">
        <w:rPr>
          <w:sz w:val="18"/>
          <w:szCs w:val="18"/>
        </w:rPr>
        <w:t>uthority, action that has been deliberately designed to bring about a cessation event (</w:t>
      </w:r>
      <w:r w:rsidR="00941FB4">
        <w:rPr>
          <w:sz w:val="18"/>
          <w:szCs w:val="18"/>
        </w:rPr>
        <w:t xml:space="preserve">e.g. </w:t>
      </w:r>
      <w:r w:rsidRPr="00954D8E">
        <w:rPr>
          <w:sz w:val="18"/>
          <w:szCs w:val="18"/>
        </w:rPr>
        <w:t>stopping future accrual of LGPS benefits), then the cessation valuation will be carried out on a low-risk basis.</w:t>
      </w:r>
    </w:p>
    <w:p w14:paraId="72433C98" w14:textId="2288C270" w:rsidR="00D84D35" w:rsidRPr="00BB7905" w:rsidRDefault="00D84D35" w:rsidP="00D84D35">
      <w:pPr>
        <w:pStyle w:val="paragraph"/>
        <w:spacing w:before="0" w:beforeAutospacing="0" w:after="0" w:afterAutospacing="0"/>
        <w:textAlignment w:val="baseline"/>
        <w:rPr>
          <w:rFonts w:ascii="Segoe UI" w:hAnsi="Segoe UI" w:cs="Segoe UI"/>
          <w:b/>
          <w:bCs/>
          <w:color w:val="3FA6CC"/>
          <w:sz w:val="18"/>
          <w:szCs w:val="18"/>
        </w:rPr>
      </w:pPr>
      <w:r w:rsidRPr="00A9456C">
        <w:rPr>
          <w:rStyle w:val="normaltextrun"/>
          <w:rFonts w:ascii="Arial" w:hAnsi="Arial" w:cs="Arial"/>
          <w:b/>
          <w:bCs/>
          <w:color w:val="3FA6CC"/>
          <w:sz w:val="20"/>
          <w:szCs w:val="20"/>
        </w:rPr>
        <w:t>Risk</w:t>
      </w:r>
      <w:r w:rsidR="007B7022">
        <w:rPr>
          <w:rStyle w:val="normaltextrun"/>
          <w:rFonts w:ascii="Arial" w:hAnsi="Arial" w:cs="Arial"/>
          <w:b/>
          <w:bCs/>
          <w:color w:val="3FA6CC"/>
          <w:sz w:val="20"/>
          <w:szCs w:val="20"/>
        </w:rPr>
        <w:t>-</w:t>
      </w:r>
      <w:r w:rsidRPr="00A9456C">
        <w:rPr>
          <w:rStyle w:val="normaltextrun"/>
          <w:rFonts w:ascii="Arial" w:hAnsi="Arial" w:cs="Arial"/>
          <w:b/>
          <w:bCs/>
          <w:color w:val="3FA6CC"/>
          <w:sz w:val="20"/>
          <w:szCs w:val="20"/>
        </w:rPr>
        <w:t xml:space="preserve">based cessation </w:t>
      </w:r>
      <w:proofErr w:type="gramStart"/>
      <w:r w:rsidRPr="00A9456C">
        <w:rPr>
          <w:rStyle w:val="normaltextrun"/>
          <w:rFonts w:ascii="Arial" w:hAnsi="Arial" w:cs="Arial"/>
          <w:b/>
          <w:bCs/>
          <w:color w:val="3FA6CC"/>
          <w:sz w:val="20"/>
          <w:szCs w:val="20"/>
        </w:rPr>
        <w:t>approach</w:t>
      </w:r>
      <w:proofErr w:type="gramEnd"/>
      <w:r w:rsidRPr="00BB7905">
        <w:rPr>
          <w:rStyle w:val="eop"/>
          <w:rFonts w:ascii="Arial" w:hAnsi="Arial" w:cs="Arial"/>
          <w:b/>
          <w:bCs/>
          <w:color w:val="3FA6CC"/>
          <w:sz w:val="20"/>
          <w:szCs w:val="20"/>
        </w:rPr>
        <w:t> </w:t>
      </w:r>
    </w:p>
    <w:p w14:paraId="1878979F" w14:textId="2FE36498" w:rsidR="00D84D35" w:rsidRPr="00A9456C" w:rsidRDefault="00D84D35" w:rsidP="00A9456C">
      <w:pPr>
        <w:pStyle w:val="paragraph"/>
        <w:spacing w:before="20" w:beforeAutospacing="0" w:after="200" w:afterAutospacing="0" w:line="280" w:lineRule="atLeast"/>
        <w:textAlignment w:val="baseline"/>
        <w:rPr>
          <w:rFonts w:ascii="Arial" w:hAnsi="Arial" w:cs="Arial"/>
          <w:iCs/>
          <w:color w:val="455560"/>
          <w:sz w:val="20"/>
          <w:szCs w:val="20"/>
          <w:lang w:eastAsia="en-US"/>
        </w:rPr>
      </w:pPr>
      <w:r w:rsidRPr="00D0680B">
        <w:rPr>
          <w:rFonts w:ascii="Arial" w:hAnsi="Arial" w:cs="Arial"/>
          <w:iCs/>
          <w:color w:val="455560"/>
          <w:sz w:val="20"/>
          <w:szCs w:val="20"/>
          <w:lang w:eastAsia="en-US"/>
        </w:rPr>
        <w:t>The fund uses a risk-based approach to set employer funding strateg</w:t>
      </w:r>
      <w:r w:rsidR="00D0680B">
        <w:rPr>
          <w:rFonts w:ascii="Arial" w:hAnsi="Arial" w:cs="Arial"/>
          <w:iCs/>
          <w:color w:val="455560"/>
          <w:sz w:val="20"/>
          <w:szCs w:val="20"/>
          <w:lang w:eastAsia="en-US"/>
        </w:rPr>
        <w:t>ies</w:t>
      </w:r>
      <w:r w:rsidRPr="00D0680B">
        <w:rPr>
          <w:rFonts w:ascii="Arial" w:hAnsi="Arial" w:cs="Arial"/>
          <w:iCs/>
          <w:color w:val="455560"/>
          <w:sz w:val="20"/>
          <w:szCs w:val="20"/>
          <w:lang w:eastAsia="en-US"/>
        </w:rPr>
        <w:t xml:space="preserve">, including within cessation calculations. In particular, the likelihood of the fund’s assets achieving </w:t>
      </w:r>
      <w:proofErr w:type="gramStart"/>
      <w:r w:rsidRPr="00D0680B">
        <w:rPr>
          <w:rFonts w:ascii="Arial" w:hAnsi="Arial" w:cs="Arial"/>
          <w:iCs/>
          <w:color w:val="455560"/>
          <w:sz w:val="20"/>
          <w:szCs w:val="20"/>
          <w:lang w:eastAsia="en-US"/>
        </w:rPr>
        <w:t>particular future</w:t>
      </w:r>
      <w:proofErr w:type="gramEnd"/>
      <w:r w:rsidRPr="00D0680B">
        <w:rPr>
          <w:rFonts w:ascii="Arial" w:hAnsi="Arial" w:cs="Arial"/>
          <w:iCs/>
          <w:color w:val="455560"/>
          <w:sz w:val="20"/>
          <w:szCs w:val="20"/>
          <w:lang w:eastAsia="en-US"/>
        </w:rPr>
        <w:t xml:space="preserve"> investment returns is analysed.  </w:t>
      </w:r>
    </w:p>
    <w:p w14:paraId="655D60BD" w14:textId="77777777" w:rsidR="00D84D35" w:rsidRPr="00A9456C" w:rsidRDefault="00D84D35" w:rsidP="00A9456C">
      <w:pPr>
        <w:pStyle w:val="paragraph"/>
        <w:spacing w:before="20" w:beforeAutospacing="0" w:after="200" w:afterAutospacing="0" w:line="280" w:lineRule="atLeast"/>
        <w:textAlignment w:val="baseline"/>
        <w:rPr>
          <w:rFonts w:ascii="Arial" w:hAnsi="Arial" w:cs="Arial"/>
          <w:iCs/>
          <w:color w:val="455560"/>
          <w:sz w:val="20"/>
          <w:szCs w:val="20"/>
          <w:lang w:eastAsia="en-US"/>
        </w:rPr>
      </w:pPr>
      <w:r w:rsidRPr="00D0680B">
        <w:rPr>
          <w:rFonts w:ascii="Arial" w:hAnsi="Arial" w:cs="Arial"/>
          <w:iCs/>
          <w:color w:val="455560"/>
          <w:sz w:val="20"/>
          <w:szCs w:val="20"/>
          <w:lang w:eastAsia="en-US"/>
        </w:rPr>
        <w:t xml:space="preserve">Where appropriate, the fund will use this approach to set an upper and lower amount (or “corridor”) </w:t>
      </w:r>
      <w:proofErr w:type="gramStart"/>
      <w:r w:rsidRPr="00D0680B">
        <w:rPr>
          <w:rFonts w:ascii="Arial" w:hAnsi="Arial" w:cs="Arial"/>
          <w:iCs/>
          <w:color w:val="455560"/>
          <w:sz w:val="20"/>
          <w:szCs w:val="20"/>
          <w:lang w:eastAsia="en-US"/>
        </w:rPr>
        <w:t>in order to</w:t>
      </w:r>
      <w:proofErr w:type="gramEnd"/>
      <w:r w:rsidRPr="00D0680B">
        <w:rPr>
          <w:rFonts w:ascii="Arial" w:hAnsi="Arial" w:cs="Arial"/>
          <w:iCs/>
          <w:color w:val="455560"/>
          <w:sz w:val="20"/>
          <w:szCs w:val="20"/>
          <w:lang w:eastAsia="en-US"/>
        </w:rPr>
        <w:t xml:space="preserve"> consider the amount of assets a ceasing employer must leave behind to pay for its members’ benefits. </w:t>
      </w:r>
    </w:p>
    <w:p w14:paraId="60108C53" w14:textId="0A10AE11" w:rsidR="00D84D35" w:rsidRDefault="00D84D35" w:rsidP="7D261B6A">
      <w:pPr>
        <w:pStyle w:val="paragraph"/>
        <w:spacing w:before="20" w:beforeAutospacing="0" w:after="200" w:afterAutospacing="0" w:line="280" w:lineRule="atLeast"/>
        <w:textAlignment w:val="baseline"/>
        <w:rPr>
          <w:rFonts w:ascii="Arial" w:hAnsi="Arial" w:cs="Arial"/>
          <w:color w:val="455560"/>
          <w:sz w:val="20"/>
          <w:szCs w:val="20"/>
          <w:lang w:eastAsia="en-US"/>
        </w:rPr>
      </w:pPr>
      <w:r w:rsidRPr="07E15C4F">
        <w:rPr>
          <w:rFonts w:ascii="Arial" w:hAnsi="Arial" w:cs="Arial"/>
          <w:color w:val="455560"/>
          <w:sz w:val="20"/>
          <w:szCs w:val="20"/>
          <w:lang w:eastAsia="en-US"/>
        </w:rPr>
        <w:t>Under this approach, an employer is deemed to have a deficit if its assets are below the lower amount and a surplus if its assets are above the higher amount (</w:t>
      </w:r>
      <w:proofErr w:type="spellStart"/>
      <w:r w:rsidRPr="07E15C4F">
        <w:rPr>
          <w:rFonts w:ascii="Arial" w:hAnsi="Arial" w:cs="Arial"/>
          <w:color w:val="455560"/>
          <w:sz w:val="20"/>
          <w:szCs w:val="20"/>
          <w:lang w:eastAsia="en-US"/>
        </w:rPr>
        <w:t>ie</w:t>
      </w:r>
      <w:proofErr w:type="spellEnd"/>
      <w:r w:rsidRPr="07E15C4F">
        <w:rPr>
          <w:rFonts w:ascii="Arial" w:hAnsi="Arial" w:cs="Arial"/>
          <w:color w:val="455560"/>
          <w:sz w:val="20"/>
          <w:szCs w:val="20"/>
          <w:lang w:eastAsia="en-US"/>
        </w:rPr>
        <w:t xml:space="preserve"> there will be no deficit or surplus if a ceasing employer</w:t>
      </w:r>
      <w:r w:rsidR="00103C35" w:rsidRPr="07E15C4F">
        <w:rPr>
          <w:rFonts w:ascii="Arial" w:hAnsi="Arial" w:cs="Arial"/>
          <w:color w:val="455560"/>
          <w:sz w:val="20"/>
          <w:szCs w:val="20"/>
          <w:lang w:eastAsia="en-US"/>
        </w:rPr>
        <w:t>’</w:t>
      </w:r>
      <w:r w:rsidRPr="07E15C4F">
        <w:rPr>
          <w:rFonts w:ascii="Arial" w:hAnsi="Arial" w:cs="Arial"/>
          <w:color w:val="455560"/>
          <w:sz w:val="20"/>
          <w:szCs w:val="20"/>
          <w:lang w:eastAsia="en-US"/>
        </w:rPr>
        <w:t>s assets fall within the “corridor”). </w:t>
      </w:r>
    </w:p>
    <w:p w14:paraId="73031C7C" w14:textId="77777777" w:rsidR="006D2672" w:rsidRDefault="006D2672" w:rsidP="006D2672">
      <w:pPr>
        <w:pStyle w:val="paragraph"/>
        <w:spacing w:before="20" w:beforeAutospacing="0" w:after="200" w:afterAutospacing="0" w:line="280" w:lineRule="atLeast"/>
        <w:textAlignment w:val="baseline"/>
        <w:rPr>
          <w:rFonts w:ascii="Arial" w:hAnsi="Arial" w:cs="Arial"/>
          <w:iCs/>
          <w:color w:val="455560"/>
          <w:sz w:val="20"/>
          <w:szCs w:val="20"/>
          <w:lang w:eastAsia="en-US"/>
        </w:rPr>
      </w:pPr>
      <w:r>
        <w:rPr>
          <w:rFonts w:ascii="Arial" w:hAnsi="Arial" w:cs="Arial"/>
          <w:iCs/>
          <w:color w:val="455560"/>
          <w:sz w:val="20"/>
          <w:szCs w:val="20"/>
          <w:lang w:eastAsia="en-US"/>
        </w:rPr>
        <w:lastRenderedPageBreak/>
        <w:t xml:space="preserve">The upper bound of the corridor is defined as the assets required to meet liabilities, where the liabilities have been calculated using an investment return assumption that is expected to be achieved in 95% of outcomes over the next 20 years (based on the Fund’s investment strategy at the calculation date). </w:t>
      </w:r>
    </w:p>
    <w:p w14:paraId="5968BA34" w14:textId="77777777" w:rsidR="006D2672" w:rsidRPr="001F7F6F" w:rsidRDefault="006D2672" w:rsidP="006D2672">
      <w:pPr>
        <w:pStyle w:val="paragraph"/>
        <w:spacing w:before="20" w:beforeAutospacing="0" w:after="200" w:afterAutospacing="0" w:line="280" w:lineRule="atLeast"/>
        <w:textAlignment w:val="baseline"/>
        <w:rPr>
          <w:rFonts w:ascii="Arial" w:hAnsi="Arial" w:cs="Arial"/>
          <w:iCs/>
          <w:color w:val="455560"/>
          <w:sz w:val="20"/>
          <w:szCs w:val="20"/>
          <w:lang w:eastAsia="en-US"/>
        </w:rPr>
      </w:pPr>
      <w:r>
        <w:rPr>
          <w:rFonts w:ascii="Arial" w:hAnsi="Arial" w:cs="Arial"/>
          <w:iCs/>
          <w:color w:val="455560"/>
          <w:sz w:val="20"/>
          <w:szCs w:val="20"/>
          <w:lang w:eastAsia="en-US"/>
        </w:rPr>
        <w:t>The lower bound of the corridor is defined as the assets required to meet liabilities, where the liabilities have been calculated using an investment return assumption that is expected to be achieved in 85% of outcomes over the next 20 years (based on the Fund’s investment strategy at the calculation date).</w:t>
      </w:r>
    </w:p>
    <w:p w14:paraId="30D20F3F" w14:textId="4C9CE996" w:rsidR="07E15C4F" w:rsidRPr="00DF6B76" w:rsidRDefault="006D2672" w:rsidP="00DF6B76">
      <w:pPr>
        <w:pStyle w:val="paragraph"/>
        <w:spacing w:before="20" w:beforeAutospacing="0" w:after="200" w:afterAutospacing="0" w:line="280" w:lineRule="atLeast"/>
        <w:textAlignment w:val="baseline"/>
        <w:rPr>
          <w:rFonts w:ascii="Arial" w:hAnsi="Arial" w:cs="Arial"/>
          <w:color w:val="455560"/>
          <w:sz w:val="20"/>
          <w:szCs w:val="20"/>
          <w:lang w:eastAsia="en-US"/>
        </w:rPr>
      </w:pPr>
      <w:r>
        <w:rPr>
          <w:rFonts w:ascii="Arial" w:hAnsi="Arial" w:cs="Arial"/>
          <w:color w:val="455560"/>
          <w:sz w:val="20"/>
          <w:szCs w:val="20"/>
          <w:lang w:eastAsia="en-US"/>
        </w:rPr>
        <w:t>The Fund reserves the right to review the</w:t>
      </w:r>
      <w:r w:rsidR="006E64F1">
        <w:rPr>
          <w:rFonts w:ascii="Arial" w:hAnsi="Arial" w:cs="Arial"/>
          <w:color w:val="455560"/>
          <w:sz w:val="20"/>
          <w:szCs w:val="20"/>
          <w:lang w:eastAsia="en-US"/>
        </w:rPr>
        <w:t xml:space="preserve"> definition of the corridor </w:t>
      </w:r>
      <w:r w:rsidR="000F25B9">
        <w:rPr>
          <w:rFonts w:ascii="Arial" w:hAnsi="Arial" w:cs="Arial"/>
          <w:color w:val="455560"/>
          <w:sz w:val="20"/>
          <w:szCs w:val="20"/>
          <w:lang w:eastAsia="en-US"/>
        </w:rPr>
        <w:t>as part of any review of this policy.</w:t>
      </w:r>
    </w:p>
    <w:p w14:paraId="2422DC2D" w14:textId="106D5F78" w:rsidR="00120909" w:rsidRPr="00343B3D" w:rsidRDefault="00276888" w:rsidP="00120909">
      <w:pPr>
        <w:pStyle w:val="Heading2Num"/>
      </w:pPr>
      <w:r>
        <w:t xml:space="preserve">Repayment </w:t>
      </w:r>
      <w:r w:rsidR="00120909" w:rsidRPr="00343B3D">
        <w:t>flexibility on exit</w:t>
      </w:r>
      <w:r>
        <w:t xml:space="preserve"> payments</w:t>
      </w:r>
    </w:p>
    <w:p w14:paraId="6865756C" w14:textId="77777777" w:rsidR="00120909" w:rsidRDefault="00120909" w:rsidP="00120909">
      <w:pPr>
        <w:pStyle w:val="Heading3"/>
      </w:pPr>
      <w:bookmarkStart w:id="15" w:name="_Deferred_spreading_arrangement"/>
      <w:bookmarkEnd w:id="15"/>
      <w:r>
        <w:t>Deferred spreading arrangement (DSA)</w:t>
      </w:r>
    </w:p>
    <w:p w14:paraId="1756B097" w14:textId="4EF427F4" w:rsidR="00120909" w:rsidRDefault="00120909" w:rsidP="00120909">
      <w:pPr>
        <w:pStyle w:val="BodyTextGrey"/>
      </w:pPr>
      <w:r>
        <w:t xml:space="preserve">The </w:t>
      </w:r>
      <w:r w:rsidR="00DC20CF">
        <w:t>f</w:t>
      </w:r>
      <w:r>
        <w:t xml:space="preserve">und will consider written requests from </w:t>
      </w:r>
      <w:r w:rsidR="00106D2D">
        <w:t xml:space="preserve">exiting </w:t>
      </w:r>
      <w:r>
        <w:t>employers to spread an exit payment over an agreed period, in the exceptional circumstance where payment of the debt in a single immediate lump sum could be shown by the employer to be materially detrimental to the employer’s financial situation.</w:t>
      </w:r>
    </w:p>
    <w:p w14:paraId="73C14A19" w14:textId="07AD9FAC" w:rsidR="00120909" w:rsidRDefault="00120909" w:rsidP="00120909">
      <w:pPr>
        <w:pStyle w:val="BodyTextGrey"/>
      </w:pPr>
      <w:r>
        <w:t xml:space="preserve">In this exceptional case, the </w:t>
      </w:r>
      <w:r w:rsidR="00DC20CF">
        <w:t>f</w:t>
      </w:r>
      <w:r>
        <w:t>und’s policy is:</w:t>
      </w:r>
    </w:p>
    <w:p w14:paraId="59449897" w14:textId="2AD34FC5" w:rsidR="00120909" w:rsidRDefault="00120909" w:rsidP="00D80D1C">
      <w:pPr>
        <w:pStyle w:val="BodyTextGrey"/>
        <w:numPr>
          <w:ilvl w:val="0"/>
          <w:numId w:val="22"/>
        </w:numPr>
      </w:pPr>
      <w:r>
        <w:t xml:space="preserve">The agreed spread period is no more than three years, but the </w:t>
      </w:r>
      <w:r w:rsidR="00DC20CF">
        <w:t>f</w:t>
      </w:r>
      <w:r>
        <w:t>und could use its discretion to extend this period in extreme circumstances.</w:t>
      </w:r>
    </w:p>
    <w:p w14:paraId="36DFFAB2" w14:textId="07A7FA95" w:rsidR="00B574EB" w:rsidRDefault="00B574EB" w:rsidP="00D80D1C">
      <w:pPr>
        <w:pStyle w:val="BodyTextGrey"/>
        <w:numPr>
          <w:ilvl w:val="0"/>
          <w:numId w:val="22"/>
        </w:numPr>
      </w:pPr>
      <w:r>
        <w:t xml:space="preserve">The </w:t>
      </w:r>
      <w:r w:rsidR="00DC20CF">
        <w:t>f</w:t>
      </w:r>
      <w:r>
        <w:t xml:space="preserve">und may consider factors such as the size of the exit payment and the financial covenant of the exiting employer in determining an appropriate spreading period. </w:t>
      </w:r>
    </w:p>
    <w:p w14:paraId="09AA15A5" w14:textId="36823F4D" w:rsidR="00B574EB" w:rsidRDefault="00B574EB" w:rsidP="00D80D1C">
      <w:pPr>
        <w:pStyle w:val="BodyTextGrey"/>
        <w:numPr>
          <w:ilvl w:val="0"/>
          <w:numId w:val="22"/>
        </w:numPr>
      </w:pPr>
      <w:r>
        <w:t xml:space="preserve">The exiting employer may be asked to provide the </w:t>
      </w:r>
      <w:r w:rsidR="00DC20CF">
        <w:t>a</w:t>
      </w:r>
      <w:r>
        <w:t xml:space="preserve">dministering </w:t>
      </w:r>
      <w:r w:rsidR="00DC20CF">
        <w:t>a</w:t>
      </w:r>
      <w:r>
        <w:t xml:space="preserve">uthority with relevant financial information such as a copy of its </w:t>
      </w:r>
      <w:r w:rsidRPr="0044769C">
        <w:t>latest accounts, sources of funding, budget forecasts, credit rating (if any)</w:t>
      </w:r>
      <w:r>
        <w:t xml:space="preserve"> </w:t>
      </w:r>
      <w:r w:rsidR="004F4555">
        <w:t xml:space="preserve">etc. </w:t>
      </w:r>
      <w:r>
        <w:t>to help in this determination.</w:t>
      </w:r>
    </w:p>
    <w:p w14:paraId="35A16F2A" w14:textId="5C231AE0" w:rsidR="0072389A" w:rsidRDefault="0072389A" w:rsidP="00D80D1C">
      <w:pPr>
        <w:pStyle w:val="BodyTextGrey"/>
        <w:numPr>
          <w:ilvl w:val="0"/>
          <w:numId w:val="22"/>
        </w:numPr>
      </w:pPr>
      <w:r>
        <w:t>Payments due under the DSA may be subject to an interest charge.</w:t>
      </w:r>
    </w:p>
    <w:p w14:paraId="379ECE45" w14:textId="30622585" w:rsidR="00120909" w:rsidRDefault="00120909" w:rsidP="00D80D1C">
      <w:pPr>
        <w:pStyle w:val="BodyTextGrey"/>
        <w:numPr>
          <w:ilvl w:val="0"/>
          <w:numId w:val="22"/>
        </w:numPr>
      </w:pPr>
      <w:r>
        <w:t xml:space="preserve">The </w:t>
      </w:r>
      <w:r w:rsidR="00DC20CF">
        <w:t>f</w:t>
      </w:r>
      <w:r>
        <w:t xml:space="preserve">und will only consider written requests </w:t>
      </w:r>
      <w:r w:rsidRPr="00973024">
        <w:t xml:space="preserve">within </w:t>
      </w:r>
      <w:r w:rsidR="00E84C34" w:rsidRPr="00973024">
        <w:t>three</w:t>
      </w:r>
      <w:r w:rsidRPr="00973024">
        <w:t xml:space="preserve"> months of the employer exiting the </w:t>
      </w:r>
      <w:r w:rsidR="00DC20CF" w:rsidRPr="00973024">
        <w:t>f</w:t>
      </w:r>
      <w:r w:rsidRPr="00973024">
        <w:t>und</w:t>
      </w:r>
      <w:r w:rsidRPr="00E84C34">
        <w:t>. The</w:t>
      </w:r>
      <w:r>
        <w:t xml:space="preserve"> exiting employer would be required to provide the </w:t>
      </w:r>
      <w:r w:rsidR="00DC20CF">
        <w:t>f</w:t>
      </w:r>
      <w:r>
        <w:t>und with detailed fin</w:t>
      </w:r>
      <w:r w:rsidR="00E84C34">
        <w:t>a</w:t>
      </w:r>
      <w:r>
        <w:t xml:space="preserve">ncial information to support </w:t>
      </w:r>
      <w:r w:rsidR="00941FB4">
        <w:t xml:space="preserve">its </w:t>
      </w:r>
      <w:r>
        <w:t>request.</w:t>
      </w:r>
    </w:p>
    <w:p w14:paraId="625BF8BE" w14:textId="4F939C02" w:rsidR="00120909" w:rsidRDefault="00120909" w:rsidP="00D80D1C">
      <w:pPr>
        <w:pStyle w:val="BodyTextGrey"/>
        <w:numPr>
          <w:ilvl w:val="0"/>
          <w:numId w:val="22"/>
        </w:numPr>
      </w:pPr>
      <w:r>
        <w:t xml:space="preserve">The </w:t>
      </w:r>
      <w:r w:rsidR="00240430">
        <w:t>f</w:t>
      </w:r>
      <w:r>
        <w:t xml:space="preserve">und would </w:t>
      </w:r>
      <w:proofErr w:type="gramStart"/>
      <w:r>
        <w:t>take into account</w:t>
      </w:r>
      <w:proofErr w:type="gramEnd"/>
      <w:r>
        <w:t xml:space="preserve"> the amount of any security offered and seek actuarial</w:t>
      </w:r>
      <w:r w:rsidR="00726FD1">
        <w:t>, covenant</w:t>
      </w:r>
      <w:r>
        <w:t xml:space="preserve"> and legal advice in all cases.</w:t>
      </w:r>
    </w:p>
    <w:p w14:paraId="7D627C64" w14:textId="6CD4D3D7" w:rsidR="00120909" w:rsidRDefault="00120909" w:rsidP="00D80D1C">
      <w:pPr>
        <w:pStyle w:val="BodyTextGrey"/>
        <w:numPr>
          <w:ilvl w:val="0"/>
          <w:numId w:val="22"/>
        </w:numPr>
      </w:pPr>
      <w:r>
        <w:t xml:space="preserve">The </w:t>
      </w:r>
      <w:r w:rsidR="00240430">
        <w:t>f</w:t>
      </w:r>
      <w:r>
        <w:t xml:space="preserve">und proposes a legal document, setting out the terms of the exit payment agreement, </w:t>
      </w:r>
      <w:r w:rsidR="5B5CC99E">
        <w:t xml:space="preserve">to </w:t>
      </w:r>
      <w:r>
        <w:t xml:space="preserve">be prepared by the </w:t>
      </w:r>
      <w:r w:rsidR="00DC20CF">
        <w:t>f</w:t>
      </w:r>
      <w:r>
        <w:t>und and signed by all relevant parties prior to the payment agreement commencing.</w:t>
      </w:r>
    </w:p>
    <w:p w14:paraId="51DA3997" w14:textId="2D82DC12" w:rsidR="00726FD1" w:rsidRDefault="00726FD1" w:rsidP="00D80D1C">
      <w:pPr>
        <w:pStyle w:val="BodyTextGrey"/>
        <w:numPr>
          <w:ilvl w:val="0"/>
          <w:numId w:val="22"/>
        </w:numPr>
      </w:pPr>
      <w:r>
        <w:t xml:space="preserve">The terms of the legal document should include reference to the </w:t>
      </w:r>
      <w:r w:rsidRPr="0044769C">
        <w:t>spreading period,</w:t>
      </w:r>
      <w:r>
        <w:t xml:space="preserve"> </w:t>
      </w:r>
      <w:r w:rsidRPr="0044769C">
        <w:t>the annual payments due,</w:t>
      </w:r>
      <w:r>
        <w:t xml:space="preserve"> </w:t>
      </w:r>
      <w:r w:rsidRPr="0044769C">
        <w:t>interest rates applicable,</w:t>
      </w:r>
      <w:r>
        <w:t xml:space="preserve"> </w:t>
      </w:r>
      <w:r w:rsidRPr="0044769C">
        <w:t>other costs payable and</w:t>
      </w:r>
      <w:r>
        <w:t xml:space="preserve"> </w:t>
      </w:r>
      <w:r w:rsidRPr="0044769C">
        <w:t xml:space="preserve">the responsibilities of the </w:t>
      </w:r>
      <w:r>
        <w:t xml:space="preserve">exiting </w:t>
      </w:r>
      <w:r w:rsidRPr="0044769C">
        <w:t>employer during the exit spreading period.</w:t>
      </w:r>
    </w:p>
    <w:p w14:paraId="464B13B2" w14:textId="486FA6CA" w:rsidR="00120909" w:rsidRDefault="00120909" w:rsidP="00D80D1C">
      <w:pPr>
        <w:pStyle w:val="BodyTextGrey"/>
        <w:numPr>
          <w:ilvl w:val="0"/>
          <w:numId w:val="22"/>
        </w:numPr>
      </w:pPr>
      <w:r>
        <w:t>Any breach of the agreed payment plan would require payment of the outstanding cessation amount immediately.</w:t>
      </w:r>
    </w:p>
    <w:p w14:paraId="493F67CF" w14:textId="0E72675F" w:rsidR="00120909" w:rsidRPr="003C179A" w:rsidRDefault="00450987" w:rsidP="00D80D1C">
      <w:pPr>
        <w:pStyle w:val="BodyTextGrey"/>
        <w:numPr>
          <w:ilvl w:val="0"/>
          <w:numId w:val="22"/>
        </w:numPr>
      </w:pPr>
      <w:r w:rsidRPr="003C179A">
        <w:t xml:space="preserve">Where appropriate, </w:t>
      </w:r>
      <w:r w:rsidR="00120909" w:rsidRPr="003C179A">
        <w:t xml:space="preserve">cases </w:t>
      </w:r>
      <w:r w:rsidRPr="003C179A">
        <w:t xml:space="preserve">may be referred </w:t>
      </w:r>
      <w:r w:rsidR="00120909" w:rsidRPr="003C179A">
        <w:t xml:space="preserve">to </w:t>
      </w:r>
      <w:r w:rsidRPr="003C179A">
        <w:t xml:space="preserve">the </w:t>
      </w:r>
      <w:r w:rsidR="00120909" w:rsidRPr="003C179A">
        <w:t>Pensions</w:t>
      </w:r>
      <w:r w:rsidR="009F095B">
        <w:t xml:space="preserve"> Committee</w:t>
      </w:r>
      <w:r w:rsidR="006A0AD1" w:rsidRPr="003C179A">
        <w:t xml:space="preserve"> for</w:t>
      </w:r>
      <w:r w:rsidR="00120909" w:rsidRPr="003C179A">
        <w:t xml:space="preserve"> consideration and considered on its individual merit. Decisions may be made by the Chair in consultation with </w:t>
      </w:r>
      <w:r w:rsidR="00DC20CF" w:rsidRPr="003C179A">
        <w:t>o</w:t>
      </w:r>
      <w:r w:rsidR="00120909" w:rsidRPr="003C179A">
        <w:t xml:space="preserve">fficers if an urgent decision is required between </w:t>
      </w:r>
      <w:r w:rsidR="009F095B">
        <w:t>Committee</w:t>
      </w:r>
      <w:r w:rsidR="00120909" w:rsidRPr="003C179A">
        <w:t xml:space="preserve"> meetings.</w:t>
      </w:r>
    </w:p>
    <w:p w14:paraId="207E495E" w14:textId="77777777" w:rsidR="00120909" w:rsidRPr="00881D83" w:rsidRDefault="00120909" w:rsidP="00120909">
      <w:pPr>
        <w:pStyle w:val="Heading3"/>
      </w:pPr>
      <w:r w:rsidRPr="00881D83">
        <w:t xml:space="preserve">Deferred debt </w:t>
      </w:r>
      <w:r>
        <w:t>agreement</w:t>
      </w:r>
      <w:r w:rsidRPr="00881D83">
        <w:t xml:space="preserve"> (DDA)</w:t>
      </w:r>
    </w:p>
    <w:p w14:paraId="27D15478" w14:textId="3F3F6C2B" w:rsidR="00120909" w:rsidRPr="00E506B2" w:rsidRDefault="00120909" w:rsidP="00120909">
      <w:pPr>
        <w:pStyle w:val="BodyTextGrey"/>
        <w:rPr>
          <w:color w:val="FF0000"/>
        </w:rPr>
      </w:pPr>
      <w:r w:rsidRPr="00E506B2">
        <w:t xml:space="preserve">The </w:t>
      </w:r>
      <w:r w:rsidR="00DC20CF">
        <w:t>f</w:t>
      </w:r>
      <w:r w:rsidRPr="00E506B2">
        <w:t xml:space="preserve">und’s preferred policy is for the spreading of payments, as detailed above, to be followed in the exceptional circumstances where an </w:t>
      </w:r>
      <w:proofErr w:type="spellStart"/>
      <w:r w:rsidR="00106D2D">
        <w:t>e</w:t>
      </w:r>
      <w:r w:rsidRPr="00E506B2">
        <w:t>xiting</w:t>
      </w:r>
      <w:proofErr w:type="spellEnd"/>
      <w:r w:rsidRPr="00E506B2">
        <w:t xml:space="preserve"> </w:t>
      </w:r>
      <w:r w:rsidR="00106D2D">
        <w:t>e</w:t>
      </w:r>
      <w:r w:rsidRPr="00E506B2">
        <w:t xml:space="preserve">mployer is unable to pay the required cessation payment </w:t>
      </w:r>
      <w:r w:rsidR="0072389A">
        <w:t xml:space="preserve">as a lump sum </w:t>
      </w:r>
      <w:r w:rsidRPr="00E506B2">
        <w:t xml:space="preserve">in full.  </w:t>
      </w:r>
      <w:r w:rsidRPr="00E506B2">
        <w:lastRenderedPageBreak/>
        <w:t xml:space="preserve">However, in the event that spreading of payments will create a high risk of bankruptcy for the exiting employer, the </w:t>
      </w:r>
      <w:r w:rsidR="00DC20CF">
        <w:t>f</w:t>
      </w:r>
      <w:r w:rsidRPr="00E506B2">
        <w:t xml:space="preserve">und may exercise its discretion to set up a </w:t>
      </w:r>
      <w:r w:rsidR="00A564F9">
        <w:t>d</w:t>
      </w:r>
      <w:r w:rsidRPr="00E506B2">
        <w:t xml:space="preserve">eferred </w:t>
      </w:r>
      <w:r w:rsidR="00A564F9">
        <w:t>d</w:t>
      </w:r>
      <w:r w:rsidRPr="00E506B2">
        <w:t xml:space="preserve">ebt </w:t>
      </w:r>
      <w:r w:rsidR="00A564F9">
        <w:t>a</w:t>
      </w:r>
      <w:r w:rsidRPr="00E506B2">
        <w:t xml:space="preserve">greement as described in </w:t>
      </w:r>
      <w:hyperlink r:id="rId13" w:anchor="r61" w:history="1">
        <w:r w:rsidR="00133A99">
          <w:rPr>
            <w:rStyle w:val="Hyperlink"/>
          </w:rPr>
          <w:t>Regulation 61 (4B)</w:t>
        </w:r>
      </w:hyperlink>
      <w:r w:rsidRPr="00E506B2">
        <w:t>)</w:t>
      </w:r>
      <w:r w:rsidRPr="00E506B2">
        <w:rPr>
          <w:color w:val="FF0000"/>
        </w:rPr>
        <w:t xml:space="preserve">.  </w:t>
      </w:r>
    </w:p>
    <w:p w14:paraId="5A00C428" w14:textId="3BCFCB27" w:rsidR="00106D2D" w:rsidRPr="0044769C" w:rsidRDefault="00106D2D" w:rsidP="0044769C">
      <w:pPr>
        <w:pStyle w:val="BodyTextGrey"/>
      </w:pPr>
      <w:r w:rsidRPr="0044769C">
        <w:t xml:space="preserve">The </w:t>
      </w:r>
      <w:r>
        <w:t>employer</w:t>
      </w:r>
      <w:r w:rsidRPr="0044769C">
        <w:t xml:space="preserve"> must meet all requirements on Scheme employers and pay the secondary rate of contributions as determined by the </w:t>
      </w:r>
      <w:r w:rsidR="00240430">
        <w:t>f</w:t>
      </w:r>
      <w:r w:rsidRPr="0044769C">
        <w:t xml:space="preserve">und </w:t>
      </w:r>
      <w:r>
        <w:t>a</w:t>
      </w:r>
      <w:r w:rsidRPr="0044769C">
        <w:t xml:space="preserve">ctuary until the termination of the </w:t>
      </w:r>
      <w:r w:rsidR="00450987">
        <w:t>DDA</w:t>
      </w:r>
      <w:r w:rsidRPr="0044769C">
        <w:t>.</w:t>
      </w:r>
    </w:p>
    <w:p w14:paraId="04BEA280" w14:textId="02D11055" w:rsidR="00106D2D" w:rsidRPr="00E40D02" w:rsidRDefault="00106D2D" w:rsidP="0044769C">
      <w:pPr>
        <w:pStyle w:val="BulletHymans"/>
        <w:numPr>
          <w:ilvl w:val="0"/>
          <w:numId w:val="0"/>
        </w:numPr>
        <w:ind w:left="567" w:hanging="567"/>
      </w:pPr>
      <w:r w:rsidRPr="008938F8">
        <w:t xml:space="preserve">The </w:t>
      </w:r>
      <w:r w:rsidR="00044442">
        <w:t>a</w:t>
      </w:r>
      <w:r w:rsidRPr="008938F8">
        <w:t xml:space="preserve">dministering </w:t>
      </w:r>
      <w:r w:rsidR="00044442">
        <w:t>a</w:t>
      </w:r>
      <w:r w:rsidRPr="008938F8">
        <w:t xml:space="preserve">uthority may consider </w:t>
      </w:r>
      <w:r w:rsidR="00A564F9" w:rsidRPr="008938F8">
        <w:t xml:space="preserve">a </w:t>
      </w:r>
      <w:r w:rsidR="00450987" w:rsidRPr="008938F8">
        <w:t>DDA</w:t>
      </w:r>
      <w:r w:rsidRPr="008938F8">
        <w:t xml:space="preserve"> in the follo</w:t>
      </w:r>
      <w:r w:rsidRPr="00E40D02">
        <w:t xml:space="preserve">wing circumstances: </w:t>
      </w:r>
    </w:p>
    <w:p w14:paraId="206CC053" w14:textId="2DB16E50" w:rsidR="00106D2D" w:rsidRPr="00E40D02" w:rsidRDefault="00106D2D" w:rsidP="0044769C">
      <w:pPr>
        <w:pStyle w:val="BodyTextGrey"/>
        <w:numPr>
          <w:ilvl w:val="0"/>
          <w:numId w:val="33"/>
        </w:numPr>
      </w:pPr>
      <w:r w:rsidRPr="00E40D02">
        <w:t xml:space="preserve">The </w:t>
      </w:r>
      <w:r>
        <w:t>employer</w:t>
      </w:r>
      <w:r w:rsidRPr="00E40D02">
        <w:t xml:space="preserve"> requests the </w:t>
      </w:r>
      <w:r w:rsidR="00044442">
        <w:t>f</w:t>
      </w:r>
      <w:r w:rsidRPr="00E40D02">
        <w:t xml:space="preserve">und consider a </w:t>
      </w:r>
      <w:r w:rsidR="00450987">
        <w:t>DDA</w:t>
      </w:r>
      <w:r w:rsidR="00732B2F">
        <w:t>.</w:t>
      </w:r>
    </w:p>
    <w:p w14:paraId="071AEFFF" w14:textId="59D69112" w:rsidR="00106D2D" w:rsidRPr="00E40D02" w:rsidRDefault="00106D2D" w:rsidP="0044769C">
      <w:pPr>
        <w:pStyle w:val="BodyTextGrey"/>
        <w:numPr>
          <w:ilvl w:val="0"/>
          <w:numId w:val="33"/>
        </w:numPr>
      </w:pPr>
      <w:r w:rsidRPr="00E40D02">
        <w:t xml:space="preserve">The </w:t>
      </w:r>
      <w:r>
        <w:t>employer</w:t>
      </w:r>
      <w:r w:rsidRPr="00E40D02">
        <w:t xml:space="preserve"> is expected to have a deficit if a cessation valuation was carried out</w:t>
      </w:r>
      <w:r w:rsidR="00732B2F">
        <w:t>.</w:t>
      </w:r>
    </w:p>
    <w:p w14:paraId="2F75B3D3" w14:textId="17885328" w:rsidR="00106D2D" w:rsidRPr="00E40D02" w:rsidRDefault="00726FD1" w:rsidP="0044769C">
      <w:pPr>
        <w:pStyle w:val="BodyTextGrey"/>
        <w:numPr>
          <w:ilvl w:val="0"/>
          <w:numId w:val="33"/>
        </w:numPr>
      </w:pPr>
      <w:r>
        <w:t>T</w:t>
      </w:r>
      <w:r w:rsidR="00106D2D" w:rsidRPr="00E40D02">
        <w:t xml:space="preserve">he </w:t>
      </w:r>
      <w:r w:rsidR="00106D2D">
        <w:t>employer</w:t>
      </w:r>
      <w:r w:rsidR="00106D2D" w:rsidRPr="00E40D02">
        <w:t xml:space="preserve"> is expected to be a going concern</w:t>
      </w:r>
      <w:r w:rsidR="00732B2F">
        <w:t>.</w:t>
      </w:r>
      <w:r w:rsidR="00106D2D" w:rsidRPr="00E40D02">
        <w:t xml:space="preserve"> </w:t>
      </w:r>
    </w:p>
    <w:p w14:paraId="5455FC50" w14:textId="42B23A4D" w:rsidR="00106D2D" w:rsidRDefault="00106D2D" w:rsidP="0044769C">
      <w:pPr>
        <w:pStyle w:val="BodyTextGrey"/>
        <w:numPr>
          <w:ilvl w:val="0"/>
          <w:numId w:val="33"/>
        </w:numPr>
      </w:pPr>
      <w:r w:rsidRPr="00E40D02">
        <w:t xml:space="preserve">The covenant of the </w:t>
      </w:r>
      <w:r>
        <w:t>employer</w:t>
      </w:r>
      <w:r w:rsidRPr="00E40D02">
        <w:t xml:space="preserve"> is considered sufficient by the </w:t>
      </w:r>
      <w:r w:rsidR="00A564F9">
        <w:t>a</w:t>
      </w:r>
      <w:r w:rsidRPr="00E40D02">
        <w:t xml:space="preserve">dministering </w:t>
      </w:r>
      <w:r w:rsidR="00A564F9">
        <w:t>a</w:t>
      </w:r>
      <w:r w:rsidRPr="00E40D02">
        <w:t>uthority</w:t>
      </w:r>
      <w:r w:rsidR="00732B2F">
        <w:t>.</w:t>
      </w:r>
    </w:p>
    <w:p w14:paraId="456C2733" w14:textId="5AC0BEB4" w:rsidR="00106D2D" w:rsidRDefault="00106D2D" w:rsidP="0044769C">
      <w:pPr>
        <w:pStyle w:val="BulletHymans"/>
        <w:numPr>
          <w:ilvl w:val="0"/>
          <w:numId w:val="0"/>
        </w:numPr>
        <w:spacing w:line="240" w:lineRule="auto"/>
        <w:jc w:val="both"/>
      </w:pPr>
      <w:r w:rsidRPr="00E40D02">
        <w:t xml:space="preserve">The </w:t>
      </w:r>
      <w:r w:rsidR="00C10AE1">
        <w:t>a</w:t>
      </w:r>
      <w:r w:rsidRPr="00E40D02">
        <w:t xml:space="preserve">dministering </w:t>
      </w:r>
      <w:r w:rsidR="00C10AE1">
        <w:t>a</w:t>
      </w:r>
      <w:r w:rsidRPr="00E40D02">
        <w:t xml:space="preserve">uthority will normally require: </w:t>
      </w:r>
    </w:p>
    <w:p w14:paraId="14C9E67B" w14:textId="69B18531" w:rsidR="001A718E" w:rsidRDefault="001A718E">
      <w:pPr>
        <w:pStyle w:val="BodyTextGrey"/>
        <w:numPr>
          <w:ilvl w:val="0"/>
          <w:numId w:val="34"/>
        </w:numPr>
      </w:pPr>
      <w:r>
        <w:t xml:space="preserve">A legal document to be prepared, setting out the terms of the </w:t>
      </w:r>
      <w:r w:rsidR="00450987">
        <w:t>DDA</w:t>
      </w:r>
      <w:r>
        <w:t xml:space="preserve"> and signed by all relevant parties prior to the arrangement </w:t>
      </w:r>
      <w:proofErr w:type="gramStart"/>
      <w:r>
        <w:t>commencing.</w:t>
      </w:r>
      <w:r w:rsidR="004F4555">
        <w:t>(</w:t>
      </w:r>
      <w:proofErr w:type="gramEnd"/>
      <w:r w:rsidR="004F4555">
        <w:t>including details of</w:t>
      </w:r>
      <w:r>
        <w:t xml:space="preserve"> the time period of the </w:t>
      </w:r>
      <w:r w:rsidR="00450987">
        <w:t>DDA</w:t>
      </w:r>
      <w:r w:rsidRPr="00415034">
        <w:t>,</w:t>
      </w:r>
      <w:r>
        <w:t xml:space="preserve"> the annual payments due, the frequency of review and </w:t>
      </w:r>
      <w:r w:rsidRPr="00415034">
        <w:t xml:space="preserve">the responsibilities of the employer during </w:t>
      </w:r>
      <w:r>
        <w:t xml:space="preserve">the </w:t>
      </w:r>
      <w:r w:rsidRPr="00415034">
        <w:t>period</w:t>
      </w:r>
      <w:r w:rsidR="004F4555">
        <w:t>)</w:t>
      </w:r>
      <w:r w:rsidRPr="00415034">
        <w:t>.</w:t>
      </w:r>
    </w:p>
    <w:p w14:paraId="3C3CAEF0" w14:textId="6392FE33" w:rsidR="00726FD1" w:rsidRPr="00E40D02" w:rsidRDefault="00726FD1" w:rsidP="0044769C">
      <w:pPr>
        <w:pStyle w:val="BulletHymans"/>
        <w:numPr>
          <w:ilvl w:val="0"/>
          <w:numId w:val="34"/>
        </w:numPr>
        <w:spacing w:line="240" w:lineRule="auto"/>
        <w:jc w:val="both"/>
      </w:pPr>
      <w:r>
        <w:t xml:space="preserve">Relevant financial information for the employer such as a copy of its </w:t>
      </w:r>
      <w:r w:rsidRPr="00415034">
        <w:t>latest accounts, sources of funding, budget forecasts, credit rating (if any)</w:t>
      </w:r>
      <w:r>
        <w:t xml:space="preserve"> to support its covenant assessment.</w:t>
      </w:r>
    </w:p>
    <w:p w14:paraId="6128BC06" w14:textId="2F159F84" w:rsidR="00106D2D" w:rsidRPr="00E40D02" w:rsidRDefault="00106D2D" w:rsidP="0044769C">
      <w:pPr>
        <w:pStyle w:val="BodyTextGrey"/>
        <w:numPr>
          <w:ilvl w:val="0"/>
          <w:numId w:val="32"/>
        </w:numPr>
      </w:pPr>
      <w:r w:rsidRPr="00E40D02">
        <w:t xml:space="preserve">Security be put in place covering the </w:t>
      </w:r>
      <w:r>
        <w:t xml:space="preserve">employer’s </w:t>
      </w:r>
      <w:r w:rsidRPr="00E40D02">
        <w:t>deficit on their cessation basis</w:t>
      </w:r>
      <w:r w:rsidR="00726FD1">
        <w:t xml:space="preserve"> and the </w:t>
      </w:r>
      <w:r w:rsidR="00257735">
        <w:t>f</w:t>
      </w:r>
      <w:r w:rsidR="00726FD1">
        <w:t>und will seek actuarial, covenant and legal advice in all cases.</w:t>
      </w:r>
    </w:p>
    <w:p w14:paraId="72C20C9E" w14:textId="7087672F" w:rsidR="00106D2D" w:rsidRPr="00E40D02" w:rsidRDefault="00106D2D" w:rsidP="0044769C">
      <w:pPr>
        <w:pStyle w:val="BodyTextGrey"/>
        <w:numPr>
          <w:ilvl w:val="0"/>
          <w:numId w:val="32"/>
        </w:numPr>
      </w:pPr>
      <w:r w:rsidRPr="00E40D02">
        <w:t>Regular monitoring of the contribution requirements and security requirements</w:t>
      </w:r>
    </w:p>
    <w:p w14:paraId="196AEC75" w14:textId="33DB8EC0" w:rsidR="00106D2D" w:rsidRPr="00E40D02" w:rsidRDefault="00106D2D" w:rsidP="0044769C">
      <w:pPr>
        <w:pStyle w:val="BodyTextGrey"/>
        <w:numPr>
          <w:ilvl w:val="0"/>
          <w:numId w:val="30"/>
        </w:numPr>
      </w:pPr>
      <w:r>
        <w:t xml:space="preserve">All costs of the arrangement are met by the employer, such as the cost of advice to the </w:t>
      </w:r>
      <w:r w:rsidR="00A564F9">
        <w:t>f</w:t>
      </w:r>
      <w:r>
        <w:t>und, ongoing monitoring o</w:t>
      </w:r>
      <w:r w:rsidR="487668CD">
        <w:t>f</w:t>
      </w:r>
      <w:r>
        <w:t xml:space="preserve"> the arrangement and correspondence on any ongoing contribution and security requirements.</w:t>
      </w:r>
    </w:p>
    <w:p w14:paraId="35FDFD13" w14:textId="54762910" w:rsidR="00106D2D" w:rsidRPr="00E40D02" w:rsidRDefault="00106D2D" w:rsidP="0044769C">
      <w:pPr>
        <w:pStyle w:val="BulletHymans"/>
        <w:numPr>
          <w:ilvl w:val="0"/>
          <w:numId w:val="0"/>
        </w:numPr>
      </w:pPr>
      <w:r w:rsidRPr="00E40D02">
        <w:t xml:space="preserve">A </w:t>
      </w:r>
      <w:r w:rsidR="00450987">
        <w:t>DDA</w:t>
      </w:r>
      <w:r w:rsidRPr="00E40D02">
        <w:t xml:space="preserve"> will normally terminate on the first date on which one of the following events occurs:</w:t>
      </w:r>
    </w:p>
    <w:p w14:paraId="6BE2A10F" w14:textId="494DABD0" w:rsidR="00106D2D" w:rsidRPr="00E40D02" w:rsidRDefault="00726FD1" w:rsidP="0044769C">
      <w:pPr>
        <w:pStyle w:val="BulletHymans"/>
      </w:pPr>
      <w:r>
        <w:t>T</w:t>
      </w:r>
      <w:r w:rsidR="00106D2D" w:rsidRPr="00E40D02">
        <w:t xml:space="preserve">he </w:t>
      </w:r>
      <w:r w:rsidR="00106D2D">
        <w:t>employer</w:t>
      </w:r>
      <w:r w:rsidR="00106D2D" w:rsidRPr="00E40D02">
        <w:t xml:space="preserve"> enrols new active </w:t>
      </w:r>
      <w:r w:rsidR="00A564F9">
        <w:t>f</w:t>
      </w:r>
      <w:r w:rsidR="00106D2D" w:rsidRPr="00E40D02">
        <w:t>und members</w:t>
      </w:r>
      <w:r w:rsidR="00732B2F">
        <w:t>.</w:t>
      </w:r>
      <w:r w:rsidR="00106D2D" w:rsidRPr="00E40D02">
        <w:t xml:space="preserve"> </w:t>
      </w:r>
    </w:p>
    <w:p w14:paraId="7049B083" w14:textId="1A59715A" w:rsidR="00106D2D" w:rsidRPr="00E40D02" w:rsidRDefault="00726FD1" w:rsidP="0044769C">
      <w:pPr>
        <w:pStyle w:val="BulletHymans"/>
      </w:pPr>
      <w:r>
        <w:t>T</w:t>
      </w:r>
      <w:r w:rsidR="00106D2D" w:rsidRPr="00E40D02">
        <w:t xml:space="preserve">he period specified, or as varied, under the </w:t>
      </w:r>
      <w:r w:rsidR="00450987">
        <w:t>DDA</w:t>
      </w:r>
      <w:r w:rsidR="00106D2D" w:rsidRPr="00E40D02">
        <w:t xml:space="preserve"> elapses</w:t>
      </w:r>
      <w:r w:rsidR="00732B2F">
        <w:t>.</w:t>
      </w:r>
      <w:r w:rsidR="00106D2D" w:rsidRPr="00E40D02">
        <w:t xml:space="preserve"> </w:t>
      </w:r>
    </w:p>
    <w:p w14:paraId="5605795D" w14:textId="026294D4" w:rsidR="00106D2D" w:rsidRPr="00E40D02" w:rsidRDefault="00726FD1" w:rsidP="0044769C">
      <w:pPr>
        <w:pStyle w:val="BulletHymans"/>
      </w:pPr>
      <w:r>
        <w:t>T</w:t>
      </w:r>
      <w:r w:rsidR="00106D2D" w:rsidRPr="00E40D02">
        <w:t xml:space="preserve">he take-over, amalgamation, insolvency, winding up or liquidation of the </w:t>
      </w:r>
      <w:r w:rsidR="00106D2D">
        <w:t>employer</w:t>
      </w:r>
      <w:r w:rsidR="00732B2F">
        <w:t>.</w:t>
      </w:r>
    </w:p>
    <w:p w14:paraId="2B0DD4A8" w14:textId="36547B16" w:rsidR="00106D2D" w:rsidRPr="00E40D02" w:rsidRDefault="00726FD1" w:rsidP="0044769C">
      <w:pPr>
        <w:pStyle w:val="BulletHymans"/>
      </w:pPr>
      <w:r>
        <w:t>T</w:t>
      </w:r>
      <w:r w:rsidR="00106D2D" w:rsidRPr="00E40D02">
        <w:t xml:space="preserve">he </w:t>
      </w:r>
      <w:r w:rsidR="00A564F9">
        <w:t>a</w:t>
      </w:r>
      <w:r w:rsidR="00106D2D" w:rsidRPr="00E40D02">
        <w:t xml:space="preserve">dministering </w:t>
      </w:r>
      <w:r w:rsidR="00A564F9">
        <w:t>a</w:t>
      </w:r>
      <w:r w:rsidR="00106D2D" w:rsidRPr="00E40D02">
        <w:t xml:space="preserve">uthority serves a notice on the </w:t>
      </w:r>
      <w:r w:rsidR="00106D2D">
        <w:t>employer</w:t>
      </w:r>
      <w:r w:rsidR="00106D2D" w:rsidRPr="00E40D02">
        <w:t xml:space="preserve"> that the </w:t>
      </w:r>
      <w:r w:rsidR="00257735">
        <w:t>a</w:t>
      </w:r>
      <w:r w:rsidR="00106D2D" w:rsidRPr="00E40D02">
        <w:t xml:space="preserve">dministering </w:t>
      </w:r>
      <w:r w:rsidR="00257735">
        <w:t>a</w:t>
      </w:r>
      <w:r w:rsidR="00106D2D" w:rsidRPr="00E40D02">
        <w:t xml:space="preserve">uthority is reasonably satisfied that the </w:t>
      </w:r>
      <w:r w:rsidR="00106D2D">
        <w:t xml:space="preserve">employer’s </w:t>
      </w:r>
      <w:r w:rsidR="00106D2D" w:rsidRPr="00E40D02">
        <w:t xml:space="preserve">ability to meet the contributions payable under the </w:t>
      </w:r>
      <w:r w:rsidR="00E87554">
        <w:t xml:space="preserve">DDA </w:t>
      </w:r>
      <w:r w:rsidR="00106D2D" w:rsidRPr="00E40D02">
        <w:t>has weakened materially or is likely to weaken materially in the next 12 months</w:t>
      </w:r>
      <w:r w:rsidR="00732B2F">
        <w:t>.</w:t>
      </w:r>
    </w:p>
    <w:p w14:paraId="4CA3EBC6" w14:textId="204D10D5" w:rsidR="00106D2D" w:rsidRPr="00F95AC2" w:rsidRDefault="00726FD1" w:rsidP="0044769C">
      <w:pPr>
        <w:pStyle w:val="BulletHymans"/>
      </w:pPr>
      <w:r>
        <w:rPr>
          <w:rStyle w:val="BodyTextGreyChar"/>
        </w:rPr>
        <w:t>T</w:t>
      </w:r>
      <w:r w:rsidR="00106D2D" w:rsidRPr="0044769C">
        <w:rPr>
          <w:rStyle w:val="BodyTextGreyChar"/>
        </w:rPr>
        <w:t xml:space="preserve">he </w:t>
      </w:r>
      <w:r w:rsidR="00257735">
        <w:rPr>
          <w:rStyle w:val="BodyTextGreyChar"/>
        </w:rPr>
        <w:t>f</w:t>
      </w:r>
      <w:r w:rsidR="00106D2D" w:rsidRPr="0044769C">
        <w:rPr>
          <w:rStyle w:val="BodyTextGreyChar"/>
        </w:rPr>
        <w:t xml:space="preserve">und actuary assesses that the employer has paid sufficient secondary contributions to cover all (or almost all) of the exit payment due if the employer becomes an </w:t>
      </w:r>
      <w:proofErr w:type="spellStart"/>
      <w:r w:rsidR="00A564F9">
        <w:rPr>
          <w:rStyle w:val="BodyTextGreyChar"/>
        </w:rPr>
        <w:t>e</w:t>
      </w:r>
      <w:r w:rsidR="00106D2D" w:rsidRPr="0044769C">
        <w:rPr>
          <w:rStyle w:val="BodyTextGreyChar"/>
        </w:rPr>
        <w:t>xiting</w:t>
      </w:r>
      <w:proofErr w:type="spellEnd"/>
      <w:r w:rsidR="00106D2D" w:rsidRPr="0044769C">
        <w:rPr>
          <w:rStyle w:val="BodyTextGreyChar"/>
        </w:rPr>
        <w:t xml:space="preserve"> </w:t>
      </w:r>
      <w:r w:rsidR="00A564F9">
        <w:rPr>
          <w:rStyle w:val="BodyTextGreyChar"/>
        </w:rPr>
        <w:t>e</w:t>
      </w:r>
      <w:r w:rsidR="00106D2D" w:rsidRPr="0044769C">
        <w:rPr>
          <w:rStyle w:val="BodyTextGreyChar"/>
        </w:rPr>
        <w:t xml:space="preserve">mployer on the calculation date (i.e. employer is now largely fully funded on their </w:t>
      </w:r>
      <w:proofErr w:type="gramStart"/>
      <w:r w:rsidR="00E87554">
        <w:rPr>
          <w:rStyle w:val="BodyTextGreyChar"/>
        </w:rPr>
        <w:t>low risk</w:t>
      </w:r>
      <w:proofErr w:type="gramEnd"/>
      <w:r w:rsidR="00106D2D" w:rsidRPr="0044769C">
        <w:rPr>
          <w:rStyle w:val="BodyTextGreyChar"/>
        </w:rPr>
        <w:t xml:space="preserve"> basis</w:t>
      </w:r>
      <w:r w:rsidR="00106D2D" w:rsidRPr="00F95AC2">
        <w:t>)</w:t>
      </w:r>
      <w:r w:rsidR="00732B2F">
        <w:t>.</w:t>
      </w:r>
    </w:p>
    <w:p w14:paraId="4798F45B" w14:textId="4BB29306" w:rsidR="00106D2D" w:rsidRPr="00F95AC2" w:rsidRDefault="00726FD1" w:rsidP="0044769C">
      <w:pPr>
        <w:pStyle w:val="BulletHymans"/>
      </w:pPr>
      <w:r>
        <w:t>T</w:t>
      </w:r>
      <w:r w:rsidR="00106D2D" w:rsidRPr="00F95AC2">
        <w:t xml:space="preserve">he </w:t>
      </w:r>
      <w:r w:rsidR="00257735">
        <w:t>f</w:t>
      </w:r>
      <w:r w:rsidR="00106D2D" w:rsidRPr="00F95AC2">
        <w:t xml:space="preserve">und actuary assesses that the </w:t>
      </w:r>
      <w:r w:rsidR="00106D2D">
        <w:t xml:space="preserve">employer’s </w:t>
      </w:r>
      <w:r w:rsidR="00106D2D" w:rsidRPr="00F95AC2">
        <w:t xml:space="preserve">value of liabilities has fallen below an agreed </w:t>
      </w:r>
      <w:r w:rsidR="00106D2D" w:rsidRPr="00F95AC2">
        <w:rPr>
          <w:i/>
        </w:rPr>
        <w:t>de minimis</w:t>
      </w:r>
      <w:r w:rsidR="00106D2D" w:rsidRPr="00F95AC2">
        <w:t xml:space="preserve"> level</w:t>
      </w:r>
      <w:r w:rsidR="004A2B7A">
        <w:t xml:space="preserve"> and </w:t>
      </w:r>
      <w:r w:rsidR="00106D2D" w:rsidRPr="00F95AC2">
        <w:t xml:space="preserve">the employer becomes an </w:t>
      </w:r>
      <w:proofErr w:type="spellStart"/>
      <w:r w:rsidR="00A564F9">
        <w:t>e</w:t>
      </w:r>
      <w:r w:rsidR="00106D2D" w:rsidRPr="00F95AC2">
        <w:t>xiting</w:t>
      </w:r>
      <w:proofErr w:type="spellEnd"/>
      <w:r w:rsidR="00106D2D" w:rsidRPr="00F95AC2">
        <w:t xml:space="preserve"> </w:t>
      </w:r>
      <w:r w:rsidR="00A564F9">
        <w:t>e</w:t>
      </w:r>
      <w:r w:rsidR="00106D2D" w:rsidRPr="00F95AC2">
        <w:t>mployer on the calculation dat</w:t>
      </w:r>
      <w:r w:rsidR="00732B2F">
        <w:t>e.</w:t>
      </w:r>
    </w:p>
    <w:p w14:paraId="51E31056" w14:textId="59DDBBDE" w:rsidR="00106D2D" w:rsidRPr="00E40D02" w:rsidRDefault="00106D2D" w:rsidP="0044769C">
      <w:pPr>
        <w:pStyle w:val="BulletHymans"/>
      </w:pPr>
      <w:r w:rsidRPr="00E40D02">
        <w:t xml:space="preserve">The </w:t>
      </w:r>
      <w:r>
        <w:t>employer</w:t>
      </w:r>
      <w:r w:rsidRPr="00E40D02">
        <w:t xml:space="preserve"> requests early termination of the agreement and settles the exit payment in full as calculated by the </w:t>
      </w:r>
      <w:r w:rsidR="00A564F9">
        <w:t>f</w:t>
      </w:r>
      <w:r w:rsidRPr="00E40D02">
        <w:t xml:space="preserve">und actuary on the calculation date (i.e. the </w:t>
      </w:r>
      <w:r>
        <w:t>employer</w:t>
      </w:r>
      <w:r w:rsidRPr="00E40D02">
        <w:t xml:space="preserve"> pays their outstanding cessation debt on their cessation basis).</w:t>
      </w:r>
    </w:p>
    <w:p w14:paraId="427B6B5A" w14:textId="1096F793" w:rsidR="00980B86" w:rsidRDefault="00106D2D" w:rsidP="005C24AE">
      <w:pPr>
        <w:pStyle w:val="BodyTextGrey"/>
      </w:pPr>
      <w:r w:rsidRPr="00E40D02">
        <w:lastRenderedPageBreak/>
        <w:t xml:space="preserve">On the termination of a </w:t>
      </w:r>
      <w:r w:rsidR="00E87554">
        <w:t>DDA</w:t>
      </w:r>
      <w:r w:rsidRPr="00E40D02">
        <w:t xml:space="preserve">, the </w:t>
      </w:r>
      <w:r w:rsidR="00A66154">
        <w:t>e</w:t>
      </w:r>
      <w:r>
        <w:t>mployer</w:t>
      </w:r>
      <w:r w:rsidRPr="00E40D02">
        <w:t xml:space="preserve"> will become an </w:t>
      </w:r>
      <w:proofErr w:type="spellStart"/>
      <w:r w:rsidR="00A564F9">
        <w:t>e</w:t>
      </w:r>
      <w:r w:rsidRPr="00E40D02">
        <w:t>xiting</w:t>
      </w:r>
      <w:proofErr w:type="spellEnd"/>
      <w:r w:rsidRPr="00E40D02">
        <w:t xml:space="preserve"> </w:t>
      </w:r>
      <w:r w:rsidR="00A564F9">
        <w:t>e</w:t>
      </w:r>
      <w:r w:rsidRPr="00E40D02">
        <w:t xml:space="preserve">mployer and a cessation valuation will be completed in line with this </w:t>
      </w:r>
      <w:r w:rsidR="00450987">
        <w:t>policy</w:t>
      </w:r>
      <w:r w:rsidRPr="00E40D02">
        <w:t>.</w:t>
      </w:r>
      <w:bookmarkStart w:id="16" w:name="_Hlk44453963"/>
    </w:p>
    <w:p w14:paraId="30C1593A" w14:textId="366A803F" w:rsidR="00FE4E68" w:rsidRPr="00E267DE" w:rsidRDefault="00826A9A" w:rsidP="00120909">
      <w:pPr>
        <w:pStyle w:val="BodyTextGrey"/>
      </w:pPr>
      <w:bookmarkStart w:id="17" w:name="_Exit_credits"/>
      <w:bookmarkEnd w:id="16"/>
      <w:bookmarkEnd w:id="17"/>
      <w:r w:rsidRPr="00E267DE">
        <w:br w:type="page"/>
      </w:r>
    </w:p>
    <w:p w14:paraId="0C34E0DD" w14:textId="54C5D3F8" w:rsidR="00FE4E68" w:rsidRDefault="001E2CD9" w:rsidP="002C49A5">
      <w:pPr>
        <w:pStyle w:val="Heading1Num"/>
      </w:pPr>
      <w:r>
        <w:lastRenderedPageBreak/>
        <w:t>Practicalities and process</w:t>
      </w:r>
    </w:p>
    <w:p w14:paraId="0310A036" w14:textId="77777777" w:rsidR="00E506B2" w:rsidRDefault="00E506B2" w:rsidP="00E506B2">
      <w:pPr>
        <w:pStyle w:val="Heading2Num"/>
        <w:numPr>
          <w:ilvl w:val="1"/>
          <w:numId w:val="1"/>
        </w:numPr>
      </w:pPr>
      <w:bookmarkStart w:id="18" w:name="_Toc85536127"/>
      <w:bookmarkStart w:id="19" w:name="GeneralComments3_1"/>
      <w:bookmarkStart w:id="20" w:name="_Toc86162860"/>
      <w:bookmarkEnd w:id="18"/>
      <w:r>
        <w:t>Responsibilities of ceasing employers</w:t>
      </w:r>
    </w:p>
    <w:bookmarkEnd w:id="19"/>
    <w:p w14:paraId="2FDEE0FB" w14:textId="2EC6D3A5" w:rsidR="00E506B2" w:rsidRDefault="00E506B2" w:rsidP="00E506B2">
      <w:pPr>
        <w:pStyle w:val="BodyTextGrey"/>
      </w:pPr>
      <w:r>
        <w:t xml:space="preserve">An employer which is aware that its participation in the </w:t>
      </w:r>
      <w:r w:rsidR="00A564F9">
        <w:t>f</w:t>
      </w:r>
      <w:r>
        <w:t>und is likely to come to an end must:</w:t>
      </w:r>
    </w:p>
    <w:p w14:paraId="1469BADB" w14:textId="6637C95C" w:rsidR="00E506B2" w:rsidRDefault="00E506B2" w:rsidP="00D80D1C">
      <w:pPr>
        <w:pStyle w:val="BodyTextGrey"/>
        <w:numPr>
          <w:ilvl w:val="0"/>
          <w:numId w:val="18"/>
        </w:numPr>
      </w:pPr>
      <w:r>
        <w:t xml:space="preserve">advise the </w:t>
      </w:r>
      <w:r w:rsidR="00A564F9">
        <w:t>f</w:t>
      </w:r>
      <w:r>
        <w:t xml:space="preserve">und, in writing, of the likely ending of its participation (either within the terms of the admission agreement in respect of an admission body (typically a 3 month notice period is required) or otherwise as required by the Regulations for all other </w:t>
      </w:r>
      <w:r w:rsidR="00A564F9">
        <w:t>s</w:t>
      </w:r>
      <w:r>
        <w:t xml:space="preserve">cheme </w:t>
      </w:r>
      <w:r w:rsidR="00A564F9">
        <w:t>e</w:t>
      </w:r>
      <w:r>
        <w:t>mployers).  It should be noted that this includes closed employers where the last employee member is leaving (whether due to retirement, death or otherwise leaving employment)</w:t>
      </w:r>
      <w:r w:rsidR="00120909">
        <w:t>.</w:t>
      </w:r>
    </w:p>
    <w:p w14:paraId="37321A7B" w14:textId="56D4918D" w:rsidR="00E506B2" w:rsidRDefault="00E506B2" w:rsidP="00D80D1C">
      <w:pPr>
        <w:pStyle w:val="BodyTextGrey"/>
        <w:numPr>
          <w:ilvl w:val="0"/>
          <w:numId w:val="18"/>
        </w:numPr>
      </w:pPr>
      <w:r>
        <w:t xml:space="preserve">provide any relevant information on the reason for leaving the </w:t>
      </w:r>
      <w:r w:rsidR="00FD3928">
        <w:t>f</w:t>
      </w:r>
      <w:r>
        <w:t xml:space="preserve">und and, where appropriate, contact information in the case of a take-over, </w:t>
      </w:r>
      <w:proofErr w:type="gramStart"/>
      <w:r>
        <w:t>merger</w:t>
      </w:r>
      <w:proofErr w:type="gramEnd"/>
      <w:r>
        <w:t xml:space="preserve"> or insolvency</w:t>
      </w:r>
      <w:r w:rsidR="00120909">
        <w:t>.</w:t>
      </w:r>
    </w:p>
    <w:p w14:paraId="182EBFFF" w14:textId="134B3F91" w:rsidR="00E506B2" w:rsidRDefault="00E506B2" w:rsidP="00D80D1C">
      <w:pPr>
        <w:pStyle w:val="BodyTextGrey"/>
        <w:numPr>
          <w:ilvl w:val="0"/>
          <w:numId w:val="18"/>
        </w:numPr>
      </w:pPr>
      <w:r>
        <w:t xml:space="preserve">provide all other information and data requirements as requested by the </w:t>
      </w:r>
      <w:r w:rsidR="0037741B">
        <w:t>a</w:t>
      </w:r>
      <w:r>
        <w:t xml:space="preserve">dministering </w:t>
      </w:r>
      <w:r w:rsidR="0037741B">
        <w:t>a</w:t>
      </w:r>
      <w:r w:rsidR="00120909">
        <w:t>uthority</w:t>
      </w:r>
      <w:r>
        <w:t xml:space="preserve"> which </w:t>
      </w:r>
      <w:r w:rsidR="00635D1F">
        <w:t xml:space="preserve">are </w:t>
      </w:r>
      <w:r>
        <w:t xml:space="preserve">relevant, including in particular any changes to the membership which could affect the liabilities (e.g. salary increases and early retirements) and an indication of what will happen to current employee members on cessation (e.g. will they transfer to another </w:t>
      </w:r>
      <w:r w:rsidR="0037741B">
        <w:t>f</w:t>
      </w:r>
      <w:r>
        <w:t xml:space="preserve">und employer, will they cease to accrue benefits within the </w:t>
      </w:r>
      <w:r w:rsidR="0037741B">
        <w:t>f</w:t>
      </w:r>
      <w:r>
        <w:t>und, etc.).</w:t>
      </w:r>
      <w:bookmarkStart w:id="21" w:name="_Toc16078793"/>
    </w:p>
    <w:p w14:paraId="6459C163" w14:textId="6880DED4" w:rsidR="00DC4B38" w:rsidRDefault="00051EC3" w:rsidP="00D80D1C">
      <w:pPr>
        <w:pStyle w:val="BodyTextGrey"/>
        <w:numPr>
          <w:ilvl w:val="0"/>
          <w:numId w:val="18"/>
        </w:numPr>
      </w:pPr>
      <w:r>
        <w:t>m</w:t>
      </w:r>
      <w:r w:rsidR="00DC4B38">
        <w:t xml:space="preserve">eet </w:t>
      </w:r>
      <w:r>
        <w:t xml:space="preserve">the cost of all fees and charges incurred </w:t>
      </w:r>
      <w:r w:rsidR="00052270">
        <w:t xml:space="preserve">by the Fund </w:t>
      </w:r>
      <w:proofErr w:type="gramStart"/>
      <w:r w:rsidR="00052270">
        <w:t>in the course</w:t>
      </w:r>
      <w:r w:rsidR="0054777B">
        <w:t xml:space="preserve"> of</w:t>
      </w:r>
      <w:proofErr w:type="gramEnd"/>
      <w:r w:rsidR="0054777B">
        <w:t xml:space="preserve"> </w:t>
      </w:r>
      <w:r w:rsidR="00052270">
        <w:t xml:space="preserve">cessation including, but not limited to, the cost </w:t>
      </w:r>
      <w:r w:rsidR="0054777B">
        <w:t>t</w:t>
      </w:r>
      <w:r w:rsidR="00052270">
        <w:t xml:space="preserve">o obtain the cessation valuation report from the Fund Actuary and the cost of </w:t>
      </w:r>
      <w:r w:rsidR="0054777B">
        <w:t>implementing a flexible repayment option (as set out in section 3.2).</w:t>
      </w:r>
      <w:r>
        <w:t xml:space="preserve"> </w:t>
      </w:r>
    </w:p>
    <w:bookmarkEnd w:id="21"/>
    <w:p w14:paraId="54884EE9" w14:textId="3892C02D" w:rsidR="00E506B2" w:rsidRDefault="00E506B2" w:rsidP="00E506B2">
      <w:pPr>
        <w:pStyle w:val="Heading2Num"/>
        <w:numPr>
          <w:ilvl w:val="1"/>
          <w:numId w:val="1"/>
        </w:numPr>
      </w:pPr>
      <w:r>
        <w:t xml:space="preserve">Responsibilities of </w:t>
      </w:r>
      <w:r w:rsidR="0037741B">
        <w:t>a</w:t>
      </w:r>
      <w:r>
        <w:t xml:space="preserve">dministering </w:t>
      </w:r>
      <w:r w:rsidR="0037741B">
        <w:t>a</w:t>
      </w:r>
      <w:r>
        <w:t>uthority</w:t>
      </w:r>
    </w:p>
    <w:p w14:paraId="0C48201B" w14:textId="7181B0AE" w:rsidR="00E506B2" w:rsidRDefault="00E506B2" w:rsidP="00E506B2">
      <w:pPr>
        <w:pStyle w:val="BodyTextGrey"/>
      </w:pPr>
      <w:r>
        <w:t xml:space="preserve">The </w:t>
      </w:r>
      <w:r w:rsidR="00A564F9">
        <w:t>a</w:t>
      </w:r>
      <w:r>
        <w:t xml:space="preserve">dministering </w:t>
      </w:r>
      <w:r w:rsidR="00A564F9">
        <w:t>a</w:t>
      </w:r>
      <w:r>
        <w:t>uthority will:</w:t>
      </w:r>
    </w:p>
    <w:p w14:paraId="46046F05" w14:textId="77777777" w:rsidR="00E506B2" w:rsidRDefault="00E506B2" w:rsidP="00D80D1C">
      <w:pPr>
        <w:pStyle w:val="BodyTextGrey"/>
        <w:numPr>
          <w:ilvl w:val="0"/>
          <w:numId w:val="19"/>
        </w:numPr>
      </w:pPr>
      <w:r>
        <w:t>gather information as required, including, but not limited to, the following:</w:t>
      </w:r>
    </w:p>
    <w:p w14:paraId="3323EA09" w14:textId="1763E6B8" w:rsidR="00E506B2" w:rsidRDefault="00E506B2" w:rsidP="00D80D1C">
      <w:pPr>
        <w:pStyle w:val="BodyTextGrey"/>
        <w:numPr>
          <w:ilvl w:val="1"/>
          <w:numId w:val="19"/>
        </w:numPr>
      </w:pPr>
      <w:r>
        <w:t xml:space="preserve">details of the cessation - the reason the employer is leaving the </w:t>
      </w:r>
      <w:r w:rsidR="00A564F9">
        <w:t>f</w:t>
      </w:r>
      <w:r>
        <w:t xml:space="preserve">und (i.e. end of contract, insolvency, merger, machinery of government changes, etc.) and any supporting documentation that may </w:t>
      </w:r>
      <w:proofErr w:type="gramStart"/>
      <w:r>
        <w:t>have an effect on</w:t>
      </w:r>
      <w:proofErr w:type="gramEnd"/>
      <w:r>
        <w:t xml:space="preserve"> the cessation</w:t>
      </w:r>
      <w:r w:rsidR="00120909">
        <w:t>.</w:t>
      </w:r>
    </w:p>
    <w:p w14:paraId="03D61F3C" w14:textId="2F9DCBCB" w:rsidR="00E506B2" w:rsidRDefault="00E506B2" w:rsidP="00D80D1C">
      <w:pPr>
        <w:pStyle w:val="BodyTextGrey"/>
        <w:numPr>
          <w:ilvl w:val="1"/>
          <w:numId w:val="19"/>
        </w:numPr>
      </w:pPr>
      <w:r>
        <w:t>complete membership data for the outgoing employer and identify changes since the previous formal valuation</w:t>
      </w:r>
      <w:r w:rsidR="00120909">
        <w:t>.</w:t>
      </w:r>
    </w:p>
    <w:p w14:paraId="4878EA9B" w14:textId="0AE1B00F" w:rsidR="00E506B2" w:rsidRDefault="00E506B2" w:rsidP="00D80D1C">
      <w:pPr>
        <w:pStyle w:val="BodyTextGrey"/>
        <w:numPr>
          <w:ilvl w:val="1"/>
          <w:numId w:val="19"/>
        </w:numPr>
      </w:pPr>
      <w:r>
        <w:t xml:space="preserve">the likely outcome for any remaining employee members (e.g. will they be transferred to a new employer, or will they cease to accrue liabilities in the </w:t>
      </w:r>
      <w:r w:rsidR="00240430">
        <w:t>f</w:t>
      </w:r>
      <w:r>
        <w:t>und).</w:t>
      </w:r>
    </w:p>
    <w:p w14:paraId="61CD23C8" w14:textId="0FDB06C6" w:rsidR="00E506B2" w:rsidRDefault="00E506B2" w:rsidP="00D80D1C">
      <w:pPr>
        <w:pStyle w:val="BodyTextGrey"/>
        <w:numPr>
          <w:ilvl w:val="0"/>
          <w:numId w:val="19"/>
        </w:numPr>
      </w:pPr>
      <w:r>
        <w:t xml:space="preserve">identify the party that will be responsible for the employer’s deficit on cessation (i.e. the employer itself, an insurance company, a receiver, another </w:t>
      </w:r>
      <w:r w:rsidR="002E2784">
        <w:t>f</w:t>
      </w:r>
      <w:r>
        <w:t>und employer, guarantor, etc.)</w:t>
      </w:r>
      <w:r w:rsidR="00120909">
        <w:t>.</w:t>
      </w:r>
    </w:p>
    <w:p w14:paraId="15E2A9F1" w14:textId="6E96DCB5" w:rsidR="00E506B2" w:rsidRDefault="00E506B2" w:rsidP="00D80D1C">
      <w:pPr>
        <w:pStyle w:val="BodyTextGrey"/>
        <w:numPr>
          <w:ilvl w:val="0"/>
          <w:numId w:val="19"/>
        </w:numPr>
      </w:pPr>
      <w:r>
        <w:t xml:space="preserve">commission the </w:t>
      </w:r>
      <w:r w:rsidR="00A564F9">
        <w:t>f</w:t>
      </w:r>
      <w:r>
        <w:t>und actuary to carry out a cessation valuation under the appropriate regulation</w:t>
      </w:r>
      <w:r w:rsidR="00120909">
        <w:t>.</w:t>
      </w:r>
    </w:p>
    <w:p w14:paraId="339E46D0" w14:textId="5AA947B3" w:rsidR="00E506B2" w:rsidRDefault="00E506B2" w:rsidP="00D80D1C">
      <w:pPr>
        <w:pStyle w:val="BodyTextGrey"/>
        <w:numPr>
          <w:ilvl w:val="0"/>
          <w:numId w:val="19"/>
        </w:numPr>
      </w:pPr>
      <w:r>
        <w:t>where applicable, discuss with the employer the possibility of paying adjusted contribution rates that target a 100% funding level by the date of cessation through increased contributions in the case of a deficit on the cessation basis or reduced contributions in respect of a surplus</w:t>
      </w:r>
      <w:r w:rsidR="00120909">
        <w:t>.</w:t>
      </w:r>
    </w:p>
    <w:p w14:paraId="5A0F5F3F" w14:textId="530B3860" w:rsidR="00E506B2" w:rsidRDefault="00E506B2" w:rsidP="00D80D1C">
      <w:pPr>
        <w:pStyle w:val="BodyTextGrey"/>
        <w:numPr>
          <w:ilvl w:val="0"/>
          <w:numId w:val="19"/>
        </w:numPr>
      </w:pPr>
      <w:r>
        <w:t xml:space="preserve">where applicable, liaise with the original ceding employer or guarantor and ensure it is aware of its responsibilities, </w:t>
      </w:r>
      <w:proofErr w:type="gramStart"/>
      <w:r>
        <w:t>in particular for</w:t>
      </w:r>
      <w:proofErr w:type="gramEnd"/>
      <w:r>
        <w:t xml:space="preserve"> any residual liabilities or risk associated with the outgoing employer’s membership</w:t>
      </w:r>
      <w:r w:rsidR="00120909">
        <w:t>.</w:t>
      </w:r>
    </w:p>
    <w:p w14:paraId="1AC5CAE2" w14:textId="3735A625" w:rsidR="00E506B2" w:rsidRDefault="00E506B2" w:rsidP="00D80D1C">
      <w:pPr>
        <w:pStyle w:val="BodyTextGrey"/>
        <w:numPr>
          <w:ilvl w:val="0"/>
          <w:numId w:val="19"/>
        </w:numPr>
      </w:pPr>
      <w:r>
        <w:lastRenderedPageBreak/>
        <w:t>having taken actuarial advice, notify the employer and other relevant parties in writing of the payment required in respect of any deficit on cessation and pursue payment.</w:t>
      </w:r>
    </w:p>
    <w:p w14:paraId="3104EF28" w14:textId="76A26995" w:rsidR="00E506B2" w:rsidRDefault="00E506B2" w:rsidP="00281BF9">
      <w:pPr>
        <w:pStyle w:val="BodyTextGrey"/>
      </w:pPr>
    </w:p>
    <w:p w14:paraId="2557AE12" w14:textId="7A6EF313" w:rsidR="00E506B2" w:rsidRPr="006F1A6D" w:rsidRDefault="00E506B2" w:rsidP="00E506B2">
      <w:pPr>
        <w:pStyle w:val="Heading2Num"/>
        <w:numPr>
          <w:ilvl w:val="1"/>
          <w:numId w:val="1"/>
        </w:numPr>
      </w:pPr>
      <w:r w:rsidRPr="006F1A6D">
        <w:t xml:space="preserve">Responsibilities of </w:t>
      </w:r>
      <w:r>
        <w:t>the</w:t>
      </w:r>
      <w:r w:rsidR="006A0A73">
        <w:t xml:space="preserve"> a</w:t>
      </w:r>
      <w:r>
        <w:t>ctuary</w:t>
      </w:r>
    </w:p>
    <w:p w14:paraId="2FBDA887" w14:textId="0956643E" w:rsidR="00E506B2" w:rsidRPr="006F1A6D" w:rsidRDefault="00E506B2" w:rsidP="00E506B2">
      <w:pPr>
        <w:pStyle w:val="BodyTextGrey"/>
      </w:pPr>
      <w:r w:rsidRPr="006F1A6D">
        <w:t xml:space="preserve">Following commission of a cessation valuation by the </w:t>
      </w:r>
      <w:r w:rsidR="00A564F9">
        <w:t>a</w:t>
      </w:r>
      <w:r w:rsidRPr="006F1A6D">
        <w:t xml:space="preserve">dministering </w:t>
      </w:r>
      <w:r w:rsidR="00A564F9">
        <w:t>a</w:t>
      </w:r>
      <w:r w:rsidRPr="006F1A6D">
        <w:t xml:space="preserve">uthority, the </w:t>
      </w:r>
      <w:r w:rsidR="00A564F9">
        <w:t>f</w:t>
      </w:r>
      <w:r w:rsidRPr="006F1A6D">
        <w:t xml:space="preserve">und </w:t>
      </w:r>
      <w:r w:rsidR="00A564F9">
        <w:t>a</w:t>
      </w:r>
      <w:r w:rsidRPr="006F1A6D">
        <w:t xml:space="preserve">ctuary will: </w:t>
      </w:r>
    </w:p>
    <w:p w14:paraId="19F72188" w14:textId="5810C448" w:rsidR="00E506B2" w:rsidRPr="006F1A6D" w:rsidRDefault="00E506B2" w:rsidP="00D80D1C">
      <w:pPr>
        <w:pStyle w:val="BodyTextGrey"/>
        <w:numPr>
          <w:ilvl w:val="0"/>
          <w:numId w:val="19"/>
        </w:numPr>
      </w:pPr>
      <w:r w:rsidRPr="006F1A6D">
        <w:t xml:space="preserve">calculate the surplus or deficit attributable to the outgoing employer on an appropriate basis, </w:t>
      </w:r>
      <w:proofErr w:type="gramStart"/>
      <w:r w:rsidRPr="006F1A6D">
        <w:t>taking into account</w:t>
      </w:r>
      <w:proofErr w:type="gramEnd"/>
      <w:r w:rsidRPr="006F1A6D">
        <w:t xml:space="preserve"> the principles set out in this policy</w:t>
      </w:r>
      <w:r w:rsidR="00B3100F">
        <w:t xml:space="preserve">, including (where appropriate) the </w:t>
      </w:r>
      <w:r w:rsidR="007B7022">
        <w:t>corridor amounts</w:t>
      </w:r>
      <w:r w:rsidR="00120909">
        <w:t>.</w:t>
      </w:r>
    </w:p>
    <w:p w14:paraId="38CE13C2" w14:textId="35D2D1B7" w:rsidR="00E506B2" w:rsidRPr="006F1A6D" w:rsidRDefault="00E506B2" w:rsidP="00D80D1C">
      <w:pPr>
        <w:pStyle w:val="BodyTextGrey"/>
        <w:numPr>
          <w:ilvl w:val="0"/>
          <w:numId w:val="19"/>
        </w:numPr>
      </w:pPr>
      <w:r w:rsidRPr="006F1A6D">
        <w:t xml:space="preserve">provide actuarial advice to the </w:t>
      </w:r>
      <w:r w:rsidR="00A564F9">
        <w:t>a</w:t>
      </w:r>
      <w:r w:rsidRPr="006F1A6D">
        <w:t xml:space="preserve">dministering </w:t>
      </w:r>
      <w:r w:rsidR="00A564F9">
        <w:t>a</w:t>
      </w:r>
      <w:r w:rsidRPr="006F1A6D">
        <w:t xml:space="preserve">uthority </w:t>
      </w:r>
      <w:r w:rsidR="00A564F9">
        <w:t>o</w:t>
      </w:r>
      <w:r w:rsidRPr="006F1A6D">
        <w:t xml:space="preserve">n how any cessation deficit should be recovered, </w:t>
      </w:r>
      <w:proofErr w:type="gramStart"/>
      <w:r w:rsidRPr="006F1A6D">
        <w:t>giving consideration to</w:t>
      </w:r>
      <w:proofErr w:type="gramEnd"/>
      <w:r w:rsidRPr="006F1A6D">
        <w:t xml:space="preserve"> the circumstances of the employer and any information collected to date in respect to the cessation</w:t>
      </w:r>
      <w:r w:rsidR="00120909">
        <w:t>.</w:t>
      </w:r>
      <w:r w:rsidRPr="006F1A6D">
        <w:t xml:space="preserve"> </w:t>
      </w:r>
    </w:p>
    <w:p w14:paraId="54D8B98A" w14:textId="73C41F89" w:rsidR="00E506B2" w:rsidRDefault="00E506B2" w:rsidP="00D80D1C">
      <w:pPr>
        <w:pStyle w:val="BodyTextGrey"/>
        <w:numPr>
          <w:ilvl w:val="0"/>
          <w:numId w:val="19"/>
        </w:numPr>
      </w:pPr>
      <w:r w:rsidRPr="006F1A6D">
        <w:t xml:space="preserve">where appropriate, advise on the implications of the employer leaving on the remaining </w:t>
      </w:r>
      <w:r w:rsidR="00A564F9">
        <w:t>f</w:t>
      </w:r>
      <w:r w:rsidRPr="006F1A6D">
        <w:t xml:space="preserve">und employers, including any residual effects to be considered as part of triennial valuations.  </w:t>
      </w:r>
      <w:r>
        <w:t xml:space="preserve"> </w:t>
      </w:r>
    </w:p>
    <w:bookmarkEnd w:id="20"/>
    <w:p w14:paraId="47090FAF" w14:textId="41AB85D0" w:rsidR="00B44E74" w:rsidRDefault="00B44E74" w:rsidP="00E506B2">
      <w:pPr>
        <w:pStyle w:val="BodyTextGrey"/>
      </w:pPr>
    </w:p>
    <w:p w14:paraId="6C396336" w14:textId="77777777" w:rsidR="00B44E74" w:rsidRPr="00424C77" w:rsidRDefault="00B44E74" w:rsidP="00E506B2">
      <w:pPr>
        <w:pStyle w:val="BodyTextGrey"/>
      </w:pPr>
    </w:p>
    <w:p w14:paraId="54D2AAF2" w14:textId="16DC6EF9" w:rsidR="00527BE4" w:rsidRPr="00E4099C" w:rsidRDefault="00527BE4" w:rsidP="00E4099C">
      <w:pPr>
        <w:spacing w:after="20" w:line="240" w:lineRule="auto"/>
        <w:jc w:val="left"/>
        <w:rPr>
          <w:rFonts w:cs="Times New Roman"/>
          <w:iCs w:val="0"/>
          <w:color w:val="4B4B4B"/>
          <w:kern w:val="28"/>
          <w:sz w:val="36"/>
          <w:lang w:eastAsia="en-US"/>
        </w:rPr>
      </w:pPr>
    </w:p>
    <w:sectPr w:rsidR="00527BE4" w:rsidRPr="00E4099C" w:rsidSect="00E57572">
      <w:headerReference w:type="default" r:id="rId14"/>
      <w:pgSz w:w="11906" w:h="16838" w:code="9"/>
      <w:pgMar w:top="1814" w:right="851" w:bottom="1134" w:left="1134" w:header="72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7A26" w14:textId="77777777" w:rsidR="0036354F" w:rsidRDefault="0036354F" w:rsidP="004B7C6A">
      <w:pPr>
        <w:spacing w:line="240" w:lineRule="auto"/>
      </w:pPr>
      <w:r>
        <w:separator/>
      </w:r>
    </w:p>
  </w:endnote>
  <w:endnote w:type="continuationSeparator" w:id="0">
    <w:p w14:paraId="688332FD" w14:textId="77777777" w:rsidR="0036354F" w:rsidRDefault="0036354F" w:rsidP="004B7C6A">
      <w:pPr>
        <w:spacing w:line="240" w:lineRule="auto"/>
      </w:pPr>
      <w:r>
        <w:continuationSeparator/>
      </w:r>
    </w:p>
  </w:endnote>
  <w:endnote w:type="continuationNotice" w:id="1">
    <w:p w14:paraId="3ECEEC8B" w14:textId="77777777" w:rsidR="0036354F" w:rsidRDefault="003635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w:altName w:val="Times New Roman"/>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129B" w14:textId="77777777" w:rsidR="0036354F" w:rsidRDefault="0036354F" w:rsidP="004B7C6A">
      <w:pPr>
        <w:spacing w:line="240" w:lineRule="auto"/>
      </w:pPr>
      <w:r>
        <w:separator/>
      </w:r>
    </w:p>
  </w:footnote>
  <w:footnote w:type="continuationSeparator" w:id="0">
    <w:p w14:paraId="57601614" w14:textId="77777777" w:rsidR="0036354F" w:rsidRDefault="0036354F" w:rsidP="004B7C6A">
      <w:pPr>
        <w:spacing w:line="240" w:lineRule="auto"/>
      </w:pPr>
      <w:r>
        <w:continuationSeparator/>
      </w:r>
    </w:p>
  </w:footnote>
  <w:footnote w:type="continuationNotice" w:id="1">
    <w:p w14:paraId="3E0000C2" w14:textId="77777777" w:rsidR="0036354F" w:rsidRDefault="003635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30A8" w14:textId="7EB47EF5" w:rsidR="009C3DA7" w:rsidRPr="004D2949" w:rsidRDefault="009C3DA7" w:rsidP="004F4319">
    <w:pPr>
      <w:pStyle w:val="Header"/>
      <w:tabs>
        <w:tab w:val="clear" w:pos="57"/>
        <w:tab w:val="left" w:pos="709"/>
        <w:tab w:val="right" w:pos="9924"/>
      </w:tabs>
      <w:ind w:left="709"/>
      <w:rPr>
        <w:rStyle w:val="HeaderTextBlue"/>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F44"/>
    <w:multiLevelType w:val="hybridMultilevel"/>
    <w:tmpl w:val="086A20BE"/>
    <w:lvl w:ilvl="0" w:tplc="C380ACBA">
      <w:start w:val="1"/>
      <w:numFmt w:val="lowerRoman"/>
      <w:lvlText w:val="%1."/>
      <w:lvlJc w:val="left"/>
      <w:pPr>
        <w:ind w:left="360" w:hanging="360"/>
      </w:pPr>
      <w:rPr>
        <w:rFonts w:ascii="Arial" w:eastAsia="Arial" w:hAnsi="Arial" w:cs="Arial" w:hint="default"/>
        <w:color w:val="45545F"/>
        <w:spacing w:val="-2"/>
        <w:w w:val="99"/>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4F75B8"/>
    <w:multiLevelType w:val="multilevel"/>
    <w:tmpl w:val="95DCC37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921CD1"/>
    <w:multiLevelType w:val="multilevel"/>
    <w:tmpl w:val="8E5CF884"/>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A4C39"/>
    <w:multiLevelType w:val="hybridMultilevel"/>
    <w:tmpl w:val="031A558A"/>
    <w:lvl w:ilvl="0" w:tplc="C380ACBA">
      <w:start w:val="1"/>
      <w:numFmt w:val="lowerRoman"/>
      <w:lvlText w:val="%1."/>
      <w:lvlJc w:val="left"/>
      <w:pPr>
        <w:ind w:left="360" w:hanging="360"/>
      </w:pPr>
      <w:rPr>
        <w:rFonts w:ascii="Arial" w:eastAsia="Arial" w:hAnsi="Arial" w:cs="Arial" w:hint="default"/>
        <w:color w:val="45545F"/>
        <w:spacing w:val="-2"/>
        <w:w w:val="99"/>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176E4E"/>
    <w:multiLevelType w:val="hybridMultilevel"/>
    <w:tmpl w:val="0004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2DFE"/>
    <w:multiLevelType w:val="hybridMultilevel"/>
    <w:tmpl w:val="0270F598"/>
    <w:lvl w:ilvl="0" w:tplc="08090001">
      <w:start w:val="1"/>
      <w:numFmt w:val="bullet"/>
      <w:lvlText w:val=""/>
      <w:lvlJc w:val="left"/>
      <w:pPr>
        <w:ind w:left="360" w:hanging="360"/>
      </w:pPr>
      <w:rPr>
        <w:rFonts w:ascii="Symbol" w:hAnsi="Symbol" w:hint="default"/>
      </w:rPr>
    </w:lvl>
    <w:lvl w:ilvl="1" w:tplc="C37ACC2E">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80527"/>
    <w:multiLevelType w:val="hybridMultilevel"/>
    <w:tmpl w:val="00E0CB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A341A"/>
    <w:multiLevelType w:val="hybridMultilevel"/>
    <w:tmpl w:val="0D10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20DE5"/>
    <w:multiLevelType w:val="hybridMultilevel"/>
    <w:tmpl w:val="5670902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D879A5"/>
    <w:multiLevelType w:val="multilevel"/>
    <w:tmpl w:val="5E7631A4"/>
    <w:numStyleLink w:val="HRBullet"/>
  </w:abstractNum>
  <w:abstractNum w:abstractNumId="13" w15:restartNumberingAfterBreak="0">
    <w:nsid w:val="34F55732"/>
    <w:multiLevelType w:val="hybridMultilevel"/>
    <w:tmpl w:val="B02E5034"/>
    <w:lvl w:ilvl="0" w:tplc="2E98E5AE">
      <w:start w:val="1"/>
      <w:numFmt w:val="decimal"/>
      <w:lvlText w:val="%1"/>
      <w:lvlJc w:val="left"/>
      <w:pPr>
        <w:ind w:left="706" w:hanging="567"/>
      </w:pPr>
      <w:rPr>
        <w:rFonts w:ascii="Arial" w:eastAsia="Arial" w:hAnsi="Arial" w:cs="Arial" w:hint="default"/>
        <w:color w:val="4A4A4A"/>
        <w:w w:val="99"/>
        <w:sz w:val="20"/>
        <w:szCs w:val="20"/>
      </w:rPr>
    </w:lvl>
    <w:lvl w:ilvl="1" w:tplc="DEB43C30">
      <w:numFmt w:val="bullet"/>
      <w:lvlText w:val="•"/>
      <w:lvlJc w:val="left"/>
      <w:pPr>
        <w:ind w:left="1560" w:hanging="567"/>
      </w:pPr>
      <w:rPr>
        <w:rFonts w:hint="default"/>
      </w:rPr>
    </w:lvl>
    <w:lvl w:ilvl="2" w:tplc="6478C35E">
      <w:numFmt w:val="bullet"/>
      <w:lvlText w:val="•"/>
      <w:lvlJc w:val="left"/>
      <w:pPr>
        <w:ind w:left="2421" w:hanging="567"/>
      </w:pPr>
      <w:rPr>
        <w:rFonts w:hint="default"/>
      </w:rPr>
    </w:lvl>
    <w:lvl w:ilvl="3" w:tplc="88441854">
      <w:numFmt w:val="bullet"/>
      <w:lvlText w:val="•"/>
      <w:lvlJc w:val="left"/>
      <w:pPr>
        <w:ind w:left="3281" w:hanging="567"/>
      </w:pPr>
      <w:rPr>
        <w:rFonts w:hint="default"/>
      </w:rPr>
    </w:lvl>
    <w:lvl w:ilvl="4" w:tplc="B1D4C512">
      <w:numFmt w:val="bullet"/>
      <w:lvlText w:val="•"/>
      <w:lvlJc w:val="left"/>
      <w:pPr>
        <w:ind w:left="4142" w:hanging="567"/>
      </w:pPr>
      <w:rPr>
        <w:rFonts w:hint="default"/>
      </w:rPr>
    </w:lvl>
    <w:lvl w:ilvl="5" w:tplc="C3D2F874">
      <w:numFmt w:val="bullet"/>
      <w:lvlText w:val="•"/>
      <w:lvlJc w:val="left"/>
      <w:pPr>
        <w:ind w:left="5003" w:hanging="567"/>
      </w:pPr>
      <w:rPr>
        <w:rFonts w:hint="default"/>
      </w:rPr>
    </w:lvl>
    <w:lvl w:ilvl="6" w:tplc="45C03FE8">
      <w:numFmt w:val="bullet"/>
      <w:lvlText w:val="•"/>
      <w:lvlJc w:val="left"/>
      <w:pPr>
        <w:ind w:left="5863" w:hanging="567"/>
      </w:pPr>
      <w:rPr>
        <w:rFonts w:hint="default"/>
      </w:rPr>
    </w:lvl>
    <w:lvl w:ilvl="7" w:tplc="312CDC2E">
      <w:numFmt w:val="bullet"/>
      <w:lvlText w:val="•"/>
      <w:lvlJc w:val="left"/>
      <w:pPr>
        <w:ind w:left="6724" w:hanging="567"/>
      </w:pPr>
      <w:rPr>
        <w:rFonts w:hint="default"/>
      </w:rPr>
    </w:lvl>
    <w:lvl w:ilvl="8" w:tplc="51827994">
      <w:numFmt w:val="bullet"/>
      <w:lvlText w:val="•"/>
      <w:lvlJc w:val="left"/>
      <w:pPr>
        <w:ind w:left="7585" w:hanging="567"/>
      </w:pPr>
      <w:rPr>
        <w:rFonts w:hint="default"/>
      </w:rPr>
    </w:lvl>
  </w:abstractNum>
  <w:abstractNum w:abstractNumId="14" w15:restartNumberingAfterBreak="0">
    <w:nsid w:val="37685F0F"/>
    <w:multiLevelType w:val="multilevel"/>
    <w:tmpl w:val="1D2A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9"/>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A71D2"/>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4A5DC1"/>
    <w:multiLevelType w:val="multilevel"/>
    <w:tmpl w:val="6346F4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61304E"/>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F64D11"/>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D3382E"/>
    <w:multiLevelType w:val="hybridMultilevel"/>
    <w:tmpl w:val="AE36D1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877F60"/>
    <w:multiLevelType w:val="hybridMultilevel"/>
    <w:tmpl w:val="BECC3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D4F94"/>
    <w:multiLevelType w:val="hybridMultilevel"/>
    <w:tmpl w:val="AE36D1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7C12202"/>
    <w:multiLevelType w:val="hybridMultilevel"/>
    <w:tmpl w:val="D284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486361"/>
    <w:multiLevelType w:val="hybridMultilevel"/>
    <w:tmpl w:val="C40A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55776"/>
    <w:multiLevelType w:val="hybridMultilevel"/>
    <w:tmpl w:val="FF60C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7" w15:restartNumberingAfterBreak="0">
    <w:nsid w:val="6BB0084C"/>
    <w:multiLevelType w:val="hybridMultilevel"/>
    <w:tmpl w:val="F1ACF5DA"/>
    <w:lvl w:ilvl="0" w:tplc="C380ACBA">
      <w:start w:val="1"/>
      <w:numFmt w:val="lowerRoman"/>
      <w:lvlText w:val="%1."/>
      <w:lvlJc w:val="left"/>
      <w:pPr>
        <w:ind w:left="644" w:hanging="360"/>
      </w:pPr>
      <w:rPr>
        <w:rFonts w:ascii="Arial" w:eastAsia="Arial" w:hAnsi="Arial" w:cs="Arial" w:hint="default"/>
        <w:color w:val="45545F"/>
        <w:spacing w:val="-2"/>
        <w:w w:val="99"/>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B399C"/>
    <w:multiLevelType w:val="hybridMultilevel"/>
    <w:tmpl w:val="951A88C8"/>
    <w:lvl w:ilvl="0" w:tplc="FF9CA2A0">
      <w:numFmt w:val="bullet"/>
      <w:lvlText w:val=""/>
      <w:lvlJc w:val="left"/>
      <w:pPr>
        <w:ind w:left="566" w:hanging="567"/>
      </w:pPr>
      <w:rPr>
        <w:rFonts w:ascii="Symbol" w:eastAsia="Symbol" w:hAnsi="Symbol" w:cs="Symbol" w:hint="default"/>
        <w:color w:val="4A4A4A"/>
        <w:w w:val="99"/>
        <w:sz w:val="20"/>
        <w:szCs w:val="20"/>
      </w:rPr>
    </w:lvl>
    <w:lvl w:ilvl="1" w:tplc="640EFA38">
      <w:numFmt w:val="bullet"/>
      <w:lvlText w:val="•"/>
      <w:lvlJc w:val="left"/>
      <w:pPr>
        <w:ind w:left="868" w:hanging="567"/>
      </w:pPr>
      <w:rPr>
        <w:rFonts w:hint="default"/>
      </w:rPr>
    </w:lvl>
    <w:lvl w:ilvl="2" w:tplc="C57E2736">
      <w:numFmt w:val="bullet"/>
      <w:lvlText w:val="•"/>
      <w:lvlJc w:val="left"/>
      <w:pPr>
        <w:ind w:left="1177" w:hanging="567"/>
      </w:pPr>
      <w:rPr>
        <w:rFonts w:hint="default"/>
      </w:rPr>
    </w:lvl>
    <w:lvl w:ilvl="3" w:tplc="A8C86D54">
      <w:numFmt w:val="bullet"/>
      <w:lvlText w:val="•"/>
      <w:lvlJc w:val="left"/>
      <w:pPr>
        <w:ind w:left="1485" w:hanging="567"/>
      </w:pPr>
      <w:rPr>
        <w:rFonts w:hint="default"/>
      </w:rPr>
    </w:lvl>
    <w:lvl w:ilvl="4" w:tplc="AD808410">
      <w:numFmt w:val="bullet"/>
      <w:lvlText w:val="•"/>
      <w:lvlJc w:val="left"/>
      <w:pPr>
        <w:ind w:left="1794" w:hanging="567"/>
      </w:pPr>
      <w:rPr>
        <w:rFonts w:hint="default"/>
      </w:rPr>
    </w:lvl>
    <w:lvl w:ilvl="5" w:tplc="CAF82496">
      <w:numFmt w:val="bullet"/>
      <w:lvlText w:val="•"/>
      <w:lvlJc w:val="left"/>
      <w:pPr>
        <w:ind w:left="2103" w:hanging="567"/>
      </w:pPr>
      <w:rPr>
        <w:rFonts w:hint="default"/>
      </w:rPr>
    </w:lvl>
    <w:lvl w:ilvl="6" w:tplc="0F766AA8">
      <w:numFmt w:val="bullet"/>
      <w:lvlText w:val="•"/>
      <w:lvlJc w:val="left"/>
      <w:pPr>
        <w:ind w:left="2411" w:hanging="567"/>
      </w:pPr>
      <w:rPr>
        <w:rFonts w:hint="default"/>
      </w:rPr>
    </w:lvl>
    <w:lvl w:ilvl="7" w:tplc="39DAB328">
      <w:numFmt w:val="bullet"/>
      <w:lvlText w:val="•"/>
      <w:lvlJc w:val="left"/>
      <w:pPr>
        <w:ind w:left="2720" w:hanging="567"/>
      </w:pPr>
      <w:rPr>
        <w:rFonts w:hint="default"/>
      </w:rPr>
    </w:lvl>
    <w:lvl w:ilvl="8" w:tplc="938009B4">
      <w:numFmt w:val="bullet"/>
      <w:lvlText w:val="•"/>
      <w:lvlJc w:val="left"/>
      <w:pPr>
        <w:ind w:left="3028" w:hanging="567"/>
      </w:pPr>
      <w:rPr>
        <w:rFonts w:hint="default"/>
      </w:rPr>
    </w:lvl>
  </w:abstractNum>
  <w:abstractNum w:abstractNumId="30"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70831A3"/>
    <w:multiLevelType w:val="hybridMultilevel"/>
    <w:tmpl w:val="F4E468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0F23FB"/>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7489533">
    <w:abstractNumId w:val="1"/>
  </w:num>
  <w:num w:numId="2" w16cid:durableId="994644460">
    <w:abstractNumId w:val="8"/>
  </w:num>
  <w:num w:numId="3" w16cid:durableId="1183008129">
    <w:abstractNumId w:val="16"/>
  </w:num>
  <w:num w:numId="4" w16cid:durableId="1094865752">
    <w:abstractNumId w:val="30"/>
  </w:num>
  <w:num w:numId="5" w16cid:durableId="546717711">
    <w:abstractNumId w:val="32"/>
  </w:num>
  <w:num w:numId="6" w16cid:durableId="2125028252">
    <w:abstractNumId w:val="4"/>
  </w:num>
  <w:num w:numId="7" w16cid:durableId="1396396597">
    <w:abstractNumId w:val="26"/>
  </w:num>
  <w:num w:numId="8" w16cid:durableId="2079940500">
    <w:abstractNumId w:val="3"/>
  </w:num>
  <w:num w:numId="9" w16cid:durableId="741677071">
    <w:abstractNumId w:val="28"/>
  </w:num>
  <w:num w:numId="10" w16cid:durableId="820273425">
    <w:abstractNumId w:val="1"/>
  </w:num>
  <w:num w:numId="11" w16cid:durableId="313687032">
    <w:abstractNumId w:val="16"/>
  </w:num>
  <w:num w:numId="12" w16cid:durableId="1652369378">
    <w:abstractNumId w:val="8"/>
  </w:num>
  <w:num w:numId="13" w16cid:durableId="929772338">
    <w:abstractNumId w:val="6"/>
  </w:num>
  <w:num w:numId="14" w16cid:durableId="1928536981">
    <w:abstractNumId w:val="20"/>
  </w:num>
  <w:num w:numId="15" w16cid:durableId="231086717">
    <w:abstractNumId w:val="14"/>
  </w:num>
  <w:num w:numId="16" w16cid:durableId="452208265">
    <w:abstractNumId w:val="17"/>
  </w:num>
  <w:num w:numId="17" w16cid:durableId="564991696">
    <w:abstractNumId w:val="22"/>
  </w:num>
  <w:num w:numId="18" w16cid:durableId="330184103">
    <w:abstractNumId w:val="25"/>
  </w:num>
  <w:num w:numId="19" w16cid:durableId="399252871">
    <w:abstractNumId w:val="7"/>
  </w:num>
  <w:num w:numId="20" w16cid:durableId="1334458048">
    <w:abstractNumId w:val="23"/>
  </w:num>
  <w:num w:numId="21" w16cid:durableId="1973053867">
    <w:abstractNumId w:val="11"/>
  </w:num>
  <w:num w:numId="22" w16cid:durableId="2089300841">
    <w:abstractNumId w:val="24"/>
  </w:num>
  <w:num w:numId="23" w16cid:durableId="1893734933">
    <w:abstractNumId w:val="9"/>
  </w:num>
  <w:num w:numId="24" w16cid:durableId="1117986420">
    <w:abstractNumId w:val="0"/>
  </w:num>
  <w:num w:numId="25" w16cid:durableId="65344090">
    <w:abstractNumId w:val="5"/>
  </w:num>
  <w:num w:numId="26" w16cid:durableId="1422752759">
    <w:abstractNumId w:val="27"/>
  </w:num>
  <w:num w:numId="27" w16cid:durableId="161045940">
    <w:abstractNumId w:val="13"/>
  </w:num>
  <w:num w:numId="28" w16cid:durableId="1607612960">
    <w:abstractNumId w:val="29"/>
  </w:num>
  <w:num w:numId="29" w16cid:durableId="544801243">
    <w:abstractNumId w:val="2"/>
  </w:num>
  <w:num w:numId="30" w16cid:durableId="24721966">
    <w:abstractNumId w:val="15"/>
  </w:num>
  <w:num w:numId="31" w16cid:durableId="1378313897">
    <w:abstractNumId w:val="12"/>
  </w:num>
  <w:num w:numId="32" w16cid:durableId="501428612">
    <w:abstractNumId w:val="19"/>
  </w:num>
  <w:num w:numId="33" w16cid:durableId="1136600977">
    <w:abstractNumId w:val="18"/>
  </w:num>
  <w:num w:numId="34" w16cid:durableId="1116948336">
    <w:abstractNumId w:val="33"/>
  </w:num>
  <w:num w:numId="35" w16cid:durableId="26029619">
    <w:abstractNumId w:val="21"/>
  </w:num>
  <w:num w:numId="36" w16cid:durableId="858272129">
    <w:abstractNumId w:val="10"/>
  </w:num>
  <w:num w:numId="37" w16cid:durableId="11645886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1"/>
    <w:rsid w:val="00000CA8"/>
    <w:rsid w:val="000043A6"/>
    <w:rsid w:val="0000606C"/>
    <w:rsid w:val="00007CB5"/>
    <w:rsid w:val="00011AED"/>
    <w:rsid w:val="000164F3"/>
    <w:rsid w:val="00026B6B"/>
    <w:rsid w:val="00041021"/>
    <w:rsid w:val="00044442"/>
    <w:rsid w:val="00045BFC"/>
    <w:rsid w:val="0005076C"/>
    <w:rsid w:val="00051EC3"/>
    <w:rsid w:val="00052270"/>
    <w:rsid w:val="000536BE"/>
    <w:rsid w:val="00053A79"/>
    <w:rsid w:val="00055D89"/>
    <w:rsid w:val="00066872"/>
    <w:rsid w:val="00073115"/>
    <w:rsid w:val="00073204"/>
    <w:rsid w:val="00076EDF"/>
    <w:rsid w:val="000776DA"/>
    <w:rsid w:val="0008025A"/>
    <w:rsid w:val="000812F1"/>
    <w:rsid w:val="00082323"/>
    <w:rsid w:val="00085892"/>
    <w:rsid w:val="00090291"/>
    <w:rsid w:val="000933B9"/>
    <w:rsid w:val="0009532C"/>
    <w:rsid w:val="0009629C"/>
    <w:rsid w:val="00096AA1"/>
    <w:rsid w:val="00096E6F"/>
    <w:rsid w:val="000A68EC"/>
    <w:rsid w:val="000B31B8"/>
    <w:rsid w:val="000B6CAB"/>
    <w:rsid w:val="000C04A0"/>
    <w:rsid w:val="000C1401"/>
    <w:rsid w:val="000E21D1"/>
    <w:rsid w:val="000E39A9"/>
    <w:rsid w:val="000E5361"/>
    <w:rsid w:val="000F25B9"/>
    <w:rsid w:val="000F31CE"/>
    <w:rsid w:val="000F3E2D"/>
    <w:rsid w:val="000F4C83"/>
    <w:rsid w:val="000F7871"/>
    <w:rsid w:val="00103C35"/>
    <w:rsid w:val="00106D2D"/>
    <w:rsid w:val="00113311"/>
    <w:rsid w:val="001149FA"/>
    <w:rsid w:val="001203D8"/>
    <w:rsid w:val="00120909"/>
    <w:rsid w:val="00126FE1"/>
    <w:rsid w:val="001307E4"/>
    <w:rsid w:val="00133A99"/>
    <w:rsid w:val="00133D70"/>
    <w:rsid w:val="001346EF"/>
    <w:rsid w:val="00140798"/>
    <w:rsid w:val="0014257D"/>
    <w:rsid w:val="00143CF9"/>
    <w:rsid w:val="00155A0C"/>
    <w:rsid w:val="00156F81"/>
    <w:rsid w:val="00157509"/>
    <w:rsid w:val="00161697"/>
    <w:rsid w:val="00171D88"/>
    <w:rsid w:val="00171DE5"/>
    <w:rsid w:val="0017397C"/>
    <w:rsid w:val="00173A57"/>
    <w:rsid w:val="00174154"/>
    <w:rsid w:val="00176CAC"/>
    <w:rsid w:val="00191DE5"/>
    <w:rsid w:val="00193782"/>
    <w:rsid w:val="001960AC"/>
    <w:rsid w:val="001A5066"/>
    <w:rsid w:val="001A718E"/>
    <w:rsid w:val="001B7F37"/>
    <w:rsid w:val="001C087A"/>
    <w:rsid w:val="001C25D0"/>
    <w:rsid w:val="001C583F"/>
    <w:rsid w:val="001D0EBC"/>
    <w:rsid w:val="001E2CD9"/>
    <w:rsid w:val="001E37EF"/>
    <w:rsid w:val="001E7E5F"/>
    <w:rsid w:val="001F0925"/>
    <w:rsid w:val="001F09A9"/>
    <w:rsid w:val="001F4446"/>
    <w:rsid w:val="001F5FDD"/>
    <w:rsid w:val="001F7693"/>
    <w:rsid w:val="001F7F6F"/>
    <w:rsid w:val="00200072"/>
    <w:rsid w:val="0020011F"/>
    <w:rsid w:val="00204779"/>
    <w:rsid w:val="00206AC0"/>
    <w:rsid w:val="0021004D"/>
    <w:rsid w:val="00211010"/>
    <w:rsid w:val="002120AD"/>
    <w:rsid w:val="0022131D"/>
    <w:rsid w:val="002231A3"/>
    <w:rsid w:val="00226F40"/>
    <w:rsid w:val="00234794"/>
    <w:rsid w:val="00234C73"/>
    <w:rsid w:val="002365DA"/>
    <w:rsid w:val="00240430"/>
    <w:rsid w:val="0024262D"/>
    <w:rsid w:val="00242A8C"/>
    <w:rsid w:val="00244D72"/>
    <w:rsid w:val="00254661"/>
    <w:rsid w:val="00257735"/>
    <w:rsid w:val="00262A6A"/>
    <w:rsid w:val="002746D2"/>
    <w:rsid w:val="002762FF"/>
    <w:rsid w:val="00276888"/>
    <w:rsid w:val="00281BF9"/>
    <w:rsid w:val="002840B5"/>
    <w:rsid w:val="00286386"/>
    <w:rsid w:val="00286C95"/>
    <w:rsid w:val="00290914"/>
    <w:rsid w:val="002933D4"/>
    <w:rsid w:val="0029436C"/>
    <w:rsid w:val="00297CA1"/>
    <w:rsid w:val="002A5B4C"/>
    <w:rsid w:val="002B660A"/>
    <w:rsid w:val="002C23C3"/>
    <w:rsid w:val="002C346B"/>
    <w:rsid w:val="002C49A5"/>
    <w:rsid w:val="002C61C8"/>
    <w:rsid w:val="002C77A8"/>
    <w:rsid w:val="002D6871"/>
    <w:rsid w:val="002E1AD7"/>
    <w:rsid w:val="002E2784"/>
    <w:rsid w:val="002E4964"/>
    <w:rsid w:val="002E602D"/>
    <w:rsid w:val="002F0F03"/>
    <w:rsid w:val="002F429B"/>
    <w:rsid w:val="002F59D6"/>
    <w:rsid w:val="003009A1"/>
    <w:rsid w:val="00302D29"/>
    <w:rsid w:val="00307D84"/>
    <w:rsid w:val="003138A3"/>
    <w:rsid w:val="0031778E"/>
    <w:rsid w:val="0031795F"/>
    <w:rsid w:val="00321996"/>
    <w:rsid w:val="00335743"/>
    <w:rsid w:val="00335AA2"/>
    <w:rsid w:val="00336CCD"/>
    <w:rsid w:val="00343B3D"/>
    <w:rsid w:val="003502FA"/>
    <w:rsid w:val="0035108E"/>
    <w:rsid w:val="003520C8"/>
    <w:rsid w:val="00352A1D"/>
    <w:rsid w:val="003541A9"/>
    <w:rsid w:val="003563E0"/>
    <w:rsid w:val="00361523"/>
    <w:rsid w:val="00361934"/>
    <w:rsid w:val="0036354F"/>
    <w:rsid w:val="003677AB"/>
    <w:rsid w:val="00372359"/>
    <w:rsid w:val="00375BEE"/>
    <w:rsid w:val="00375E11"/>
    <w:rsid w:val="0037741B"/>
    <w:rsid w:val="00383386"/>
    <w:rsid w:val="0038594D"/>
    <w:rsid w:val="00390990"/>
    <w:rsid w:val="00393BA1"/>
    <w:rsid w:val="00394A11"/>
    <w:rsid w:val="003A4DFA"/>
    <w:rsid w:val="003A6943"/>
    <w:rsid w:val="003A7E03"/>
    <w:rsid w:val="003B09EF"/>
    <w:rsid w:val="003C0C0C"/>
    <w:rsid w:val="003C179A"/>
    <w:rsid w:val="003C57ED"/>
    <w:rsid w:val="003C6E1B"/>
    <w:rsid w:val="003C7803"/>
    <w:rsid w:val="003D08BD"/>
    <w:rsid w:val="003E628E"/>
    <w:rsid w:val="003F0A5E"/>
    <w:rsid w:val="003F2370"/>
    <w:rsid w:val="003F37F4"/>
    <w:rsid w:val="003F5846"/>
    <w:rsid w:val="003F5BAE"/>
    <w:rsid w:val="00400D5F"/>
    <w:rsid w:val="00401EA1"/>
    <w:rsid w:val="004026E1"/>
    <w:rsid w:val="0040299C"/>
    <w:rsid w:val="00407CF3"/>
    <w:rsid w:val="0042175E"/>
    <w:rsid w:val="00425E54"/>
    <w:rsid w:val="00431115"/>
    <w:rsid w:val="00436C98"/>
    <w:rsid w:val="00440EA8"/>
    <w:rsid w:val="00443599"/>
    <w:rsid w:val="00446199"/>
    <w:rsid w:val="00446FFA"/>
    <w:rsid w:val="0044769C"/>
    <w:rsid w:val="00447C79"/>
    <w:rsid w:val="00450987"/>
    <w:rsid w:val="0045375A"/>
    <w:rsid w:val="00454351"/>
    <w:rsid w:val="00455418"/>
    <w:rsid w:val="00462A47"/>
    <w:rsid w:val="00463533"/>
    <w:rsid w:val="00464282"/>
    <w:rsid w:val="0046457E"/>
    <w:rsid w:val="00467B56"/>
    <w:rsid w:val="00475DB0"/>
    <w:rsid w:val="004765CC"/>
    <w:rsid w:val="00484FC9"/>
    <w:rsid w:val="00496B48"/>
    <w:rsid w:val="00497E25"/>
    <w:rsid w:val="004A08BD"/>
    <w:rsid w:val="004A2B7A"/>
    <w:rsid w:val="004A3200"/>
    <w:rsid w:val="004A3748"/>
    <w:rsid w:val="004A738D"/>
    <w:rsid w:val="004A7A35"/>
    <w:rsid w:val="004B763E"/>
    <w:rsid w:val="004B7C6A"/>
    <w:rsid w:val="004C14AE"/>
    <w:rsid w:val="004C2543"/>
    <w:rsid w:val="004C2C26"/>
    <w:rsid w:val="004C59A5"/>
    <w:rsid w:val="004C7920"/>
    <w:rsid w:val="004D1EDE"/>
    <w:rsid w:val="004D2949"/>
    <w:rsid w:val="004D4552"/>
    <w:rsid w:val="004D47F3"/>
    <w:rsid w:val="004D703F"/>
    <w:rsid w:val="004E4512"/>
    <w:rsid w:val="004E4E0A"/>
    <w:rsid w:val="004F1C70"/>
    <w:rsid w:val="004F4283"/>
    <w:rsid w:val="004F4319"/>
    <w:rsid w:val="004F4555"/>
    <w:rsid w:val="004F52C0"/>
    <w:rsid w:val="004F705D"/>
    <w:rsid w:val="00511F30"/>
    <w:rsid w:val="00517F6F"/>
    <w:rsid w:val="005233E5"/>
    <w:rsid w:val="00523579"/>
    <w:rsid w:val="00523F4A"/>
    <w:rsid w:val="00524177"/>
    <w:rsid w:val="00527BE4"/>
    <w:rsid w:val="00530D6D"/>
    <w:rsid w:val="00536C95"/>
    <w:rsid w:val="005423F1"/>
    <w:rsid w:val="00543C7C"/>
    <w:rsid w:val="0054479C"/>
    <w:rsid w:val="00547723"/>
    <w:rsid w:val="0054777B"/>
    <w:rsid w:val="00547936"/>
    <w:rsid w:val="00552566"/>
    <w:rsid w:val="005555ED"/>
    <w:rsid w:val="00560CD7"/>
    <w:rsid w:val="0056170F"/>
    <w:rsid w:val="00562E17"/>
    <w:rsid w:val="005643DC"/>
    <w:rsid w:val="005658F7"/>
    <w:rsid w:val="005663B7"/>
    <w:rsid w:val="00571309"/>
    <w:rsid w:val="005773D9"/>
    <w:rsid w:val="0057761B"/>
    <w:rsid w:val="005844B1"/>
    <w:rsid w:val="005969E5"/>
    <w:rsid w:val="005B1592"/>
    <w:rsid w:val="005C12AC"/>
    <w:rsid w:val="005C24AE"/>
    <w:rsid w:val="005C4414"/>
    <w:rsid w:val="005C6114"/>
    <w:rsid w:val="005D02DB"/>
    <w:rsid w:val="005D4C6E"/>
    <w:rsid w:val="005D4E27"/>
    <w:rsid w:val="005E404C"/>
    <w:rsid w:val="005E4BE7"/>
    <w:rsid w:val="005E5E08"/>
    <w:rsid w:val="00605EF4"/>
    <w:rsid w:val="00622C78"/>
    <w:rsid w:val="00634F61"/>
    <w:rsid w:val="006356A0"/>
    <w:rsid w:val="00635D1F"/>
    <w:rsid w:val="00641E34"/>
    <w:rsid w:val="00642DD9"/>
    <w:rsid w:val="00655FE2"/>
    <w:rsid w:val="00656968"/>
    <w:rsid w:val="0066123E"/>
    <w:rsid w:val="0066469C"/>
    <w:rsid w:val="006700AC"/>
    <w:rsid w:val="00670412"/>
    <w:rsid w:val="00677EC6"/>
    <w:rsid w:val="0068428B"/>
    <w:rsid w:val="006906C0"/>
    <w:rsid w:val="00690BEA"/>
    <w:rsid w:val="006A0A73"/>
    <w:rsid w:val="006A0AD1"/>
    <w:rsid w:val="006A2355"/>
    <w:rsid w:val="006A2B37"/>
    <w:rsid w:val="006B16B8"/>
    <w:rsid w:val="006B4BAF"/>
    <w:rsid w:val="006B6CAF"/>
    <w:rsid w:val="006C020D"/>
    <w:rsid w:val="006C2E18"/>
    <w:rsid w:val="006C5730"/>
    <w:rsid w:val="006C79B6"/>
    <w:rsid w:val="006D1568"/>
    <w:rsid w:val="006D2672"/>
    <w:rsid w:val="006D4623"/>
    <w:rsid w:val="006D4910"/>
    <w:rsid w:val="006D6685"/>
    <w:rsid w:val="006D74B9"/>
    <w:rsid w:val="006D787F"/>
    <w:rsid w:val="006E259B"/>
    <w:rsid w:val="006E64F1"/>
    <w:rsid w:val="006E69D1"/>
    <w:rsid w:val="006F1A6D"/>
    <w:rsid w:val="006F48DC"/>
    <w:rsid w:val="006F50A2"/>
    <w:rsid w:val="006F5C75"/>
    <w:rsid w:val="006F79B0"/>
    <w:rsid w:val="00710355"/>
    <w:rsid w:val="007137BF"/>
    <w:rsid w:val="007151A9"/>
    <w:rsid w:val="00720E34"/>
    <w:rsid w:val="0072389A"/>
    <w:rsid w:val="00724773"/>
    <w:rsid w:val="007254CB"/>
    <w:rsid w:val="00726FD1"/>
    <w:rsid w:val="007306C4"/>
    <w:rsid w:val="00732B2F"/>
    <w:rsid w:val="007336DE"/>
    <w:rsid w:val="00735ABA"/>
    <w:rsid w:val="00745A4B"/>
    <w:rsid w:val="00746529"/>
    <w:rsid w:val="00747A4C"/>
    <w:rsid w:val="00750306"/>
    <w:rsid w:val="007508DE"/>
    <w:rsid w:val="00750A56"/>
    <w:rsid w:val="0075364D"/>
    <w:rsid w:val="00755D3D"/>
    <w:rsid w:val="00770126"/>
    <w:rsid w:val="00770FF3"/>
    <w:rsid w:val="00771BF9"/>
    <w:rsid w:val="00772F85"/>
    <w:rsid w:val="00773464"/>
    <w:rsid w:val="00774BAF"/>
    <w:rsid w:val="007755BC"/>
    <w:rsid w:val="00777896"/>
    <w:rsid w:val="00780797"/>
    <w:rsid w:val="00784299"/>
    <w:rsid w:val="00785319"/>
    <w:rsid w:val="00791AEA"/>
    <w:rsid w:val="00792B2E"/>
    <w:rsid w:val="00794913"/>
    <w:rsid w:val="007A16BD"/>
    <w:rsid w:val="007A201E"/>
    <w:rsid w:val="007A7454"/>
    <w:rsid w:val="007A7E36"/>
    <w:rsid w:val="007B22B1"/>
    <w:rsid w:val="007B2E3D"/>
    <w:rsid w:val="007B7022"/>
    <w:rsid w:val="007C02D2"/>
    <w:rsid w:val="007C1C02"/>
    <w:rsid w:val="007C308A"/>
    <w:rsid w:val="007C3E9E"/>
    <w:rsid w:val="007D35AA"/>
    <w:rsid w:val="007D430F"/>
    <w:rsid w:val="007D5023"/>
    <w:rsid w:val="007E06DA"/>
    <w:rsid w:val="007E0767"/>
    <w:rsid w:val="007E3A7D"/>
    <w:rsid w:val="007F0AA2"/>
    <w:rsid w:val="00806B6C"/>
    <w:rsid w:val="008118F3"/>
    <w:rsid w:val="008150E2"/>
    <w:rsid w:val="008152E8"/>
    <w:rsid w:val="00815B58"/>
    <w:rsid w:val="00816F99"/>
    <w:rsid w:val="00820971"/>
    <w:rsid w:val="00826A9A"/>
    <w:rsid w:val="00835C3E"/>
    <w:rsid w:val="008378B5"/>
    <w:rsid w:val="0084023C"/>
    <w:rsid w:val="00840460"/>
    <w:rsid w:val="008437C2"/>
    <w:rsid w:val="008456B0"/>
    <w:rsid w:val="008510E5"/>
    <w:rsid w:val="008579AF"/>
    <w:rsid w:val="00862D8F"/>
    <w:rsid w:val="00873ABC"/>
    <w:rsid w:val="00874822"/>
    <w:rsid w:val="00876F61"/>
    <w:rsid w:val="0087746B"/>
    <w:rsid w:val="008806BD"/>
    <w:rsid w:val="0088600A"/>
    <w:rsid w:val="00886058"/>
    <w:rsid w:val="008938F8"/>
    <w:rsid w:val="0089500F"/>
    <w:rsid w:val="00896593"/>
    <w:rsid w:val="0089780B"/>
    <w:rsid w:val="008A7B40"/>
    <w:rsid w:val="008A7E4D"/>
    <w:rsid w:val="008B1D1C"/>
    <w:rsid w:val="008B2A42"/>
    <w:rsid w:val="008B55B6"/>
    <w:rsid w:val="008C0E62"/>
    <w:rsid w:val="008C3EF1"/>
    <w:rsid w:val="008C5A12"/>
    <w:rsid w:val="008D0C20"/>
    <w:rsid w:val="008D15F5"/>
    <w:rsid w:val="008D6566"/>
    <w:rsid w:val="008E1627"/>
    <w:rsid w:val="008E241C"/>
    <w:rsid w:val="008E5368"/>
    <w:rsid w:val="008E538C"/>
    <w:rsid w:val="008E74C4"/>
    <w:rsid w:val="008E7B2F"/>
    <w:rsid w:val="008F112B"/>
    <w:rsid w:val="008F19B7"/>
    <w:rsid w:val="008F46CE"/>
    <w:rsid w:val="009042E0"/>
    <w:rsid w:val="009056E7"/>
    <w:rsid w:val="0090715C"/>
    <w:rsid w:val="00911815"/>
    <w:rsid w:val="009150FF"/>
    <w:rsid w:val="009200FF"/>
    <w:rsid w:val="0092629D"/>
    <w:rsid w:val="00930C1B"/>
    <w:rsid w:val="00932377"/>
    <w:rsid w:val="00933B46"/>
    <w:rsid w:val="00934FE2"/>
    <w:rsid w:val="00941FB4"/>
    <w:rsid w:val="009446BF"/>
    <w:rsid w:val="00944E44"/>
    <w:rsid w:val="00945623"/>
    <w:rsid w:val="009478C5"/>
    <w:rsid w:val="009604F1"/>
    <w:rsid w:val="009668CA"/>
    <w:rsid w:val="0096731D"/>
    <w:rsid w:val="00973024"/>
    <w:rsid w:val="00974CD8"/>
    <w:rsid w:val="00976403"/>
    <w:rsid w:val="00980193"/>
    <w:rsid w:val="00980B86"/>
    <w:rsid w:val="00981D5A"/>
    <w:rsid w:val="0098213E"/>
    <w:rsid w:val="00985497"/>
    <w:rsid w:val="00986715"/>
    <w:rsid w:val="009875D5"/>
    <w:rsid w:val="009904A9"/>
    <w:rsid w:val="00991273"/>
    <w:rsid w:val="009A69A0"/>
    <w:rsid w:val="009B0E44"/>
    <w:rsid w:val="009B1C12"/>
    <w:rsid w:val="009B3207"/>
    <w:rsid w:val="009B56D4"/>
    <w:rsid w:val="009C2111"/>
    <w:rsid w:val="009C3B44"/>
    <w:rsid w:val="009C3D9A"/>
    <w:rsid w:val="009C3DA7"/>
    <w:rsid w:val="009D79D5"/>
    <w:rsid w:val="009E414F"/>
    <w:rsid w:val="009F095B"/>
    <w:rsid w:val="009F0FDC"/>
    <w:rsid w:val="009F2FAC"/>
    <w:rsid w:val="009F3C38"/>
    <w:rsid w:val="00A12FF3"/>
    <w:rsid w:val="00A13261"/>
    <w:rsid w:val="00A133DE"/>
    <w:rsid w:val="00A134C9"/>
    <w:rsid w:val="00A140BB"/>
    <w:rsid w:val="00A226D4"/>
    <w:rsid w:val="00A22D8D"/>
    <w:rsid w:val="00A232FA"/>
    <w:rsid w:val="00A24384"/>
    <w:rsid w:val="00A276BE"/>
    <w:rsid w:val="00A32B7B"/>
    <w:rsid w:val="00A33693"/>
    <w:rsid w:val="00A35DFC"/>
    <w:rsid w:val="00A36B80"/>
    <w:rsid w:val="00A43FC2"/>
    <w:rsid w:val="00A53A65"/>
    <w:rsid w:val="00A54FB2"/>
    <w:rsid w:val="00A564F9"/>
    <w:rsid w:val="00A60B96"/>
    <w:rsid w:val="00A6135C"/>
    <w:rsid w:val="00A625CF"/>
    <w:rsid w:val="00A637C1"/>
    <w:rsid w:val="00A644DE"/>
    <w:rsid w:val="00A655FD"/>
    <w:rsid w:val="00A66154"/>
    <w:rsid w:val="00A709C7"/>
    <w:rsid w:val="00A81AFB"/>
    <w:rsid w:val="00A867C8"/>
    <w:rsid w:val="00A9456C"/>
    <w:rsid w:val="00AA039F"/>
    <w:rsid w:val="00AA781C"/>
    <w:rsid w:val="00AB2027"/>
    <w:rsid w:val="00AB529D"/>
    <w:rsid w:val="00AB728A"/>
    <w:rsid w:val="00AD26E1"/>
    <w:rsid w:val="00AD2D81"/>
    <w:rsid w:val="00AD51B4"/>
    <w:rsid w:val="00AD655B"/>
    <w:rsid w:val="00AE006F"/>
    <w:rsid w:val="00AE1D89"/>
    <w:rsid w:val="00AE7E28"/>
    <w:rsid w:val="00AF44A1"/>
    <w:rsid w:val="00AF6D87"/>
    <w:rsid w:val="00B1098B"/>
    <w:rsid w:val="00B13494"/>
    <w:rsid w:val="00B13A78"/>
    <w:rsid w:val="00B15387"/>
    <w:rsid w:val="00B21588"/>
    <w:rsid w:val="00B2569B"/>
    <w:rsid w:val="00B26214"/>
    <w:rsid w:val="00B27221"/>
    <w:rsid w:val="00B3100F"/>
    <w:rsid w:val="00B40E6A"/>
    <w:rsid w:val="00B44E74"/>
    <w:rsid w:val="00B46E5F"/>
    <w:rsid w:val="00B56A1E"/>
    <w:rsid w:val="00B574EB"/>
    <w:rsid w:val="00B63826"/>
    <w:rsid w:val="00B65A66"/>
    <w:rsid w:val="00B6766D"/>
    <w:rsid w:val="00B712C0"/>
    <w:rsid w:val="00B71FA4"/>
    <w:rsid w:val="00B73BB0"/>
    <w:rsid w:val="00B81430"/>
    <w:rsid w:val="00B84062"/>
    <w:rsid w:val="00B90A21"/>
    <w:rsid w:val="00B9170A"/>
    <w:rsid w:val="00B93548"/>
    <w:rsid w:val="00B94039"/>
    <w:rsid w:val="00BA1CA2"/>
    <w:rsid w:val="00BA2C1F"/>
    <w:rsid w:val="00BA2D78"/>
    <w:rsid w:val="00BA6285"/>
    <w:rsid w:val="00BB0F18"/>
    <w:rsid w:val="00BB7905"/>
    <w:rsid w:val="00BC07E7"/>
    <w:rsid w:val="00BC40B1"/>
    <w:rsid w:val="00BC6FED"/>
    <w:rsid w:val="00BD0774"/>
    <w:rsid w:val="00BE57AA"/>
    <w:rsid w:val="00BE7326"/>
    <w:rsid w:val="00BF230B"/>
    <w:rsid w:val="00BF376A"/>
    <w:rsid w:val="00C03A0D"/>
    <w:rsid w:val="00C04D2F"/>
    <w:rsid w:val="00C0697E"/>
    <w:rsid w:val="00C10AE1"/>
    <w:rsid w:val="00C11502"/>
    <w:rsid w:val="00C11538"/>
    <w:rsid w:val="00C1687D"/>
    <w:rsid w:val="00C2670A"/>
    <w:rsid w:val="00C279EA"/>
    <w:rsid w:val="00C329F9"/>
    <w:rsid w:val="00C33083"/>
    <w:rsid w:val="00C363CE"/>
    <w:rsid w:val="00C3770F"/>
    <w:rsid w:val="00C40876"/>
    <w:rsid w:val="00C45DC5"/>
    <w:rsid w:val="00C530F9"/>
    <w:rsid w:val="00C540D0"/>
    <w:rsid w:val="00C56810"/>
    <w:rsid w:val="00C57515"/>
    <w:rsid w:val="00C60B23"/>
    <w:rsid w:val="00C6384B"/>
    <w:rsid w:val="00C655E7"/>
    <w:rsid w:val="00C71AA4"/>
    <w:rsid w:val="00C81DD4"/>
    <w:rsid w:val="00C82B4A"/>
    <w:rsid w:val="00C901C0"/>
    <w:rsid w:val="00C93C67"/>
    <w:rsid w:val="00C97A1C"/>
    <w:rsid w:val="00C97E68"/>
    <w:rsid w:val="00CA08B0"/>
    <w:rsid w:val="00CA166B"/>
    <w:rsid w:val="00CA4914"/>
    <w:rsid w:val="00CA5113"/>
    <w:rsid w:val="00CA6D5F"/>
    <w:rsid w:val="00CA7ADF"/>
    <w:rsid w:val="00CA7C64"/>
    <w:rsid w:val="00CB135A"/>
    <w:rsid w:val="00CB3387"/>
    <w:rsid w:val="00CB70A2"/>
    <w:rsid w:val="00CC3276"/>
    <w:rsid w:val="00CD4C08"/>
    <w:rsid w:val="00CD4EE2"/>
    <w:rsid w:val="00CE4CCF"/>
    <w:rsid w:val="00CE700F"/>
    <w:rsid w:val="00D03963"/>
    <w:rsid w:val="00D0680B"/>
    <w:rsid w:val="00D07231"/>
    <w:rsid w:val="00D12115"/>
    <w:rsid w:val="00D20D54"/>
    <w:rsid w:val="00D21B27"/>
    <w:rsid w:val="00D223BB"/>
    <w:rsid w:val="00D23C8A"/>
    <w:rsid w:val="00D25904"/>
    <w:rsid w:val="00D32412"/>
    <w:rsid w:val="00D37A94"/>
    <w:rsid w:val="00D405D3"/>
    <w:rsid w:val="00D41BBE"/>
    <w:rsid w:val="00D42563"/>
    <w:rsid w:val="00D472BF"/>
    <w:rsid w:val="00D476C4"/>
    <w:rsid w:val="00D54052"/>
    <w:rsid w:val="00D56AD0"/>
    <w:rsid w:val="00D600BB"/>
    <w:rsid w:val="00D605B3"/>
    <w:rsid w:val="00D65C65"/>
    <w:rsid w:val="00D720E3"/>
    <w:rsid w:val="00D80D1C"/>
    <w:rsid w:val="00D81B2B"/>
    <w:rsid w:val="00D831AA"/>
    <w:rsid w:val="00D84D35"/>
    <w:rsid w:val="00D855A5"/>
    <w:rsid w:val="00D862C0"/>
    <w:rsid w:val="00D95274"/>
    <w:rsid w:val="00DA02D2"/>
    <w:rsid w:val="00DA6F77"/>
    <w:rsid w:val="00DA7B28"/>
    <w:rsid w:val="00DB699E"/>
    <w:rsid w:val="00DB6F9E"/>
    <w:rsid w:val="00DB7FDE"/>
    <w:rsid w:val="00DC1610"/>
    <w:rsid w:val="00DC20CF"/>
    <w:rsid w:val="00DC3116"/>
    <w:rsid w:val="00DC4B38"/>
    <w:rsid w:val="00DC5486"/>
    <w:rsid w:val="00DD2995"/>
    <w:rsid w:val="00DD51CE"/>
    <w:rsid w:val="00DF08AF"/>
    <w:rsid w:val="00DF6B76"/>
    <w:rsid w:val="00DF70F2"/>
    <w:rsid w:val="00E026AF"/>
    <w:rsid w:val="00E0598D"/>
    <w:rsid w:val="00E13AA0"/>
    <w:rsid w:val="00E16440"/>
    <w:rsid w:val="00E23480"/>
    <w:rsid w:val="00E267DE"/>
    <w:rsid w:val="00E350DA"/>
    <w:rsid w:val="00E36769"/>
    <w:rsid w:val="00E40547"/>
    <w:rsid w:val="00E4099C"/>
    <w:rsid w:val="00E42972"/>
    <w:rsid w:val="00E4337D"/>
    <w:rsid w:val="00E44C8D"/>
    <w:rsid w:val="00E4536D"/>
    <w:rsid w:val="00E506B2"/>
    <w:rsid w:val="00E54812"/>
    <w:rsid w:val="00E57572"/>
    <w:rsid w:val="00E62A97"/>
    <w:rsid w:val="00E63D37"/>
    <w:rsid w:val="00E77927"/>
    <w:rsid w:val="00E84C34"/>
    <w:rsid w:val="00E87554"/>
    <w:rsid w:val="00E934FE"/>
    <w:rsid w:val="00E936AE"/>
    <w:rsid w:val="00E95556"/>
    <w:rsid w:val="00EA00E2"/>
    <w:rsid w:val="00EA0573"/>
    <w:rsid w:val="00EA5908"/>
    <w:rsid w:val="00EA5AE2"/>
    <w:rsid w:val="00EA7240"/>
    <w:rsid w:val="00EB3C6D"/>
    <w:rsid w:val="00EB598C"/>
    <w:rsid w:val="00EB5E60"/>
    <w:rsid w:val="00EC0E67"/>
    <w:rsid w:val="00EC764A"/>
    <w:rsid w:val="00ED27AE"/>
    <w:rsid w:val="00ED3647"/>
    <w:rsid w:val="00ED3DB3"/>
    <w:rsid w:val="00EE3FCD"/>
    <w:rsid w:val="00EE40B1"/>
    <w:rsid w:val="00EE77F6"/>
    <w:rsid w:val="00EF2DF4"/>
    <w:rsid w:val="00EF370E"/>
    <w:rsid w:val="00EF5382"/>
    <w:rsid w:val="00EF5675"/>
    <w:rsid w:val="00EF5912"/>
    <w:rsid w:val="00F05A56"/>
    <w:rsid w:val="00F06CD8"/>
    <w:rsid w:val="00F07AC7"/>
    <w:rsid w:val="00F10B96"/>
    <w:rsid w:val="00F10CD1"/>
    <w:rsid w:val="00F10D70"/>
    <w:rsid w:val="00F14C95"/>
    <w:rsid w:val="00F21632"/>
    <w:rsid w:val="00F273C6"/>
    <w:rsid w:val="00F27BC4"/>
    <w:rsid w:val="00F3253F"/>
    <w:rsid w:val="00F3687F"/>
    <w:rsid w:val="00F47744"/>
    <w:rsid w:val="00F47E66"/>
    <w:rsid w:val="00F5562F"/>
    <w:rsid w:val="00F564DC"/>
    <w:rsid w:val="00F6250F"/>
    <w:rsid w:val="00F62DB6"/>
    <w:rsid w:val="00F63A53"/>
    <w:rsid w:val="00F64D01"/>
    <w:rsid w:val="00F65177"/>
    <w:rsid w:val="00F652CE"/>
    <w:rsid w:val="00F71DD6"/>
    <w:rsid w:val="00F8137C"/>
    <w:rsid w:val="00F81B80"/>
    <w:rsid w:val="00F81E9A"/>
    <w:rsid w:val="00F87AF3"/>
    <w:rsid w:val="00F90E63"/>
    <w:rsid w:val="00F92B0D"/>
    <w:rsid w:val="00F94F16"/>
    <w:rsid w:val="00F96F5C"/>
    <w:rsid w:val="00FA1CDE"/>
    <w:rsid w:val="00FA38EE"/>
    <w:rsid w:val="00FB428E"/>
    <w:rsid w:val="00FC2825"/>
    <w:rsid w:val="00FC5A7F"/>
    <w:rsid w:val="00FD1B5D"/>
    <w:rsid w:val="00FD3928"/>
    <w:rsid w:val="00FD5B84"/>
    <w:rsid w:val="00FD7583"/>
    <w:rsid w:val="00FE496F"/>
    <w:rsid w:val="00FE4E68"/>
    <w:rsid w:val="00FE526E"/>
    <w:rsid w:val="00FF3FC4"/>
    <w:rsid w:val="00FF488B"/>
    <w:rsid w:val="011E9A1D"/>
    <w:rsid w:val="01D91A93"/>
    <w:rsid w:val="07E15C4F"/>
    <w:rsid w:val="08F78477"/>
    <w:rsid w:val="0CE362A1"/>
    <w:rsid w:val="1A8CBD42"/>
    <w:rsid w:val="1D130C62"/>
    <w:rsid w:val="2A982924"/>
    <w:rsid w:val="3B1C1D17"/>
    <w:rsid w:val="3B1E717E"/>
    <w:rsid w:val="3B345079"/>
    <w:rsid w:val="3B451F85"/>
    <w:rsid w:val="3BB0701D"/>
    <w:rsid w:val="3FFFCCF2"/>
    <w:rsid w:val="487668CD"/>
    <w:rsid w:val="4A9A722B"/>
    <w:rsid w:val="53557F04"/>
    <w:rsid w:val="591A48CA"/>
    <w:rsid w:val="5B5CC99E"/>
    <w:rsid w:val="64729F27"/>
    <w:rsid w:val="664FC4F7"/>
    <w:rsid w:val="6E6F0912"/>
    <w:rsid w:val="749A71C0"/>
    <w:rsid w:val="752A49DC"/>
    <w:rsid w:val="7798C74D"/>
    <w:rsid w:val="7D261B6A"/>
    <w:rsid w:val="7F0A3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8836"/>
  <w15:docId w15:val="{5355B40B-C594-445E-9057-DF3D69D0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BA6285"/>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ED3647"/>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31795F"/>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6C2E18"/>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31795F"/>
  </w:style>
  <w:style w:type="character" w:customStyle="1" w:styleId="Heading1Char">
    <w:name w:val="Heading 1 Char"/>
    <w:basedOn w:val="DefaultParagraphFont"/>
    <w:link w:val="Heading1"/>
    <w:rsid w:val="00ED3647"/>
    <w:rPr>
      <w:rFonts w:ascii="Arial" w:hAnsi="Arial"/>
      <w:color w:val="3FA6CC"/>
      <w:kern w:val="28"/>
      <w:sz w:val="3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31795F"/>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4"/>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5"/>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6"/>
      </w:numPr>
      <w:spacing w:before="120" w:after="120"/>
    </w:pPr>
    <w:rPr>
      <w:rFonts w:cs="Times New Roman"/>
      <w:iCs w:val="0"/>
      <w:szCs w:val="24"/>
    </w:rPr>
  </w:style>
  <w:style w:type="paragraph" w:customStyle="1" w:styleId="hBullets">
    <w:name w:val="hBullets"/>
    <w:uiPriority w:val="3"/>
    <w:rsid w:val="0098213E"/>
    <w:pPr>
      <w:numPr>
        <w:numId w:val="7"/>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10"/>
      </w:numPr>
    </w:pPr>
  </w:style>
  <w:style w:type="paragraph" w:customStyle="1" w:styleId="Heading2Num">
    <w:name w:val="Heading 2 Num"/>
    <w:basedOn w:val="Heading2"/>
    <w:next w:val="BodyTextGrey"/>
    <w:link w:val="Heading2NumChar"/>
    <w:uiPriority w:val="1"/>
    <w:qFormat/>
    <w:rsid w:val="0031795F"/>
    <w:pPr>
      <w:numPr>
        <w:ilvl w:val="1"/>
        <w:numId w:val="10"/>
      </w:numPr>
    </w:pPr>
  </w:style>
  <w:style w:type="paragraph" w:customStyle="1" w:styleId="Heading3Num">
    <w:name w:val="Heading 3 Num"/>
    <w:basedOn w:val="Heading3"/>
    <w:next w:val="BodyTextGrey"/>
    <w:link w:val="Heading3NumChar"/>
    <w:uiPriority w:val="1"/>
    <w:qFormat/>
    <w:rsid w:val="006C2E18"/>
    <w:pPr>
      <w:numPr>
        <w:ilvl w:val="2"/>
        <w:numId w:val="10"/>
      </w:numPr>
    </w:pPr>
  </w:style>
  <w:style w:type="paragraph" w:customStyle="1" w:styleId="hNumber1">
    <w:name w:val="hNumber1"/>
    <w:uiPriority w:val="3"/>
    <w:rsid w:val="0098213E"/>
    <w:pPr>
      <w:widowControl w:val="0"/>
      <w:numPr>
        <w:numId w:val="8"/>
      </w:numPr>
      <w:spacing w:line="280" w:lineRule="atLeast"/>
    </w:pPr>
    <w:rPr>
      <w:rFonts w:ascii="Arial" w:hAnsi="Arial"/>
      <w:color w:val="4B4B4B"/>
      <w:szCs w:val="24"/>
    </w:rPr>
  </w:style>
  <w:style w:type="numbering" w:customStyle="1" w:styleId="HRNumber">
    <w:name w:val="HR Number"/>
    <w:uiPriority w:val="99"/>
    <w:rsid w:val="0092629D"/>
    <w:pPr>
      <w:numPr>
        <w:numId w:val="2"/>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qFormat/>
    <w:rsid w:val="006C2E18"/>
    <w:pPr>
      <w:numPr>
        <w:numId w:val="9"/>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3FA6CC"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31795F"/>
    <w:pPr>
      <w:spacing w:after="200"/>
    </w:pPr>
    <w:rPr>
      <w:color w:val="455560"/>
      <w:lang w:eastAsia="en-US"/>
    </w:rPr>
  </w:style>
  <w:style w:type="paragraph" w:customStyle="1" w:styleId="White">
    <w:name w:val="White"/>
    <w:basedOn w:val="BodyText"/>
    <w:next w:val="BodyTextGrey"/>
    <w:uiPriority w:val="2"/>
    <w:qFormat/>
    <w:rsid w:val="006C2E18"/>
    <w:pPr>
      <w:spacing w:after="200"/>
    </w:pPr>
    <w:rPr>
      <w:color w:val="FFFFFF" w:themeColor="background1"/>
      <w:lang w:eastAsia="en-US"/>
    </w:rPr>
  </w:style>
  <w:style w:type="paragraph" w:customStyle="1" w:styleId="Orange">
    <w:name w:val="Orange"/>
    <w:basedOn w:val="BodyText"/>
    <w:next w:val="BodyTextGrey"/>
    <w:uiPriority w:val="2"/>
    <w:rsid w:val="006C2E18"/>
    <w:pPr>
      <w:spacing w:after="200"/>
    </w:pPr>
    <w:rPr>
      <w:color w:val="F06A00" w:themeColor="accent1"/>
      <w:lang w:eastAsia="en-US"/>
    </w:rPr>
  </w:style>
  <w:style w:type="numbering" w:customStyle="1" w:styleId="HRBullet">
    <w:name w:val="HR Bullet"/>
    <w:uiPriority w:val="99"/>
    <w:rsid w:val="00E42972"/>
    <w:pPr>
      <w:numPr>
        <w:numId w:val="3"/>
      </w:numPr>
    </w:pPr>
  </w:style>
  <w:style w:type="paragraph" w:styleId="ListParagraph">
    <w:name w:val="List Paragraph"/>
    <w:basedOn w:val="Normal"/>
    <w:uiPriority w:val="34"/>
    <w:qFormat/>
    <w:rsid w:val="00EA5AE2"/>
    <w:pPr>
      <w:ind w:left="720"/>
      <w:contextualSpacing/>
    </w:pPr>
  </w:style>
  <w:style w:type="paragraph" w:customStyle="1" w:styleId="Blue">
    <w:name w:val="Blue"/>
    <w:basedOn w:val="BodyText"/>
    <w:next w:val="BodyTextGrey"/>
    <w:uiPriority w:val="2"/>
    <w:qFormat/>
    <w:rsid w:val="006C2E18"/>
    <w:pPr>
      <w:spacing w:after="200"/>
    </w:pPr>
    <w:rPr>
      <w:color w:val="3FA6CC"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31"/>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2"/>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uiPriority w:val="99"/>
    <w:semiHidden/>
    <w:unhideWhenUsed/>
    <w:rsid w:val="00C53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F9"/>
    <w:rPr>
      <w:rFonts w:ascii="Tahoma" w:eastAsia="Times New Roman" w:hAnsi="Tahoma" w:cs="Tahoma"/>
      <w:iCs/>
      <w:color w:val="3FA6CC" w:themeColor="text1"/>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375E11"/>
    <w:pPr>
      <w:outlineLvl w:val="9"/>
    </w:pPr>
    <w:rPr>
      <w:b w:val="0"/>
      <w:color w:val="3FA6CC" w:themeColor="accent4"/>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375E11"/>
    <w:rPr>
      <w:rFonts w:ascii="Arial" w:hAnsi="Arial" w:cs="Arial"/>
      <w:b w:val="0"/>
      <w:iCs/>
      <w:color w:val="3FA6CC" w:themeColor="accent4"/>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31795F"/>
    <w:rPr>
      <w:rFonts w:ascii="Arial" w:eastAsia="Times New Roman" w:hAnsi="Arial" w:cs="Arial"/>
      <w:iCs/>
      <w:color w:val="455560"/>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6EC040"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6EC040"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31795F"/>
    <w:rPr>
      <w:rFonts w:ascii="Arial" w:hAnsi="Arial" w:cs="Arial"/>
      <w:b/>
      <w:iCs/>
      <w:color w:val="6EC040" w:themeColor="accent6"/>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6EC040" w:themeColor="accent6"/>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D831AA"/>
    <w:rPr>
      <w:rFonts w:ascii="Arial" w:hAnsi="Arial" w:cs="Arial"/>
      <w:b/>
      <w:iCs/>
      <w:color w:val="3FA6CC" w:themeColor="text1"/>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3FA6C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3FA6CC"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D862C0"/>
    <w:rPr>
      <w:sz w:val="16"/>
      <w:szCs w:val="16"/>
    </w:rPr>
  </w:style>
  <w:style w:type="paragraph" w:styleId="CommentText">
    <w:name w:val="annotation text"/>
    <w:basedOn w:val="Normal"/>
    <w:link w:val="CommentTextChar"/>
    <w:uiPriority w:val="99"/>
    <w:unhideWhenUsed/>
    <w:rsid w:val="00D862C0"/>
    <w:pPr>
      <w:spacing w:line="240" w:lineRule="auto"/>
    </w:pPr>
  </w:style>
  <w:style w:type="character" w:customStyle="1" w:styleId="CommentTextChar">
    <w:name w:val="Comment Text Char"/>
    <w:basedOn w:val="DefaultParagraphFont"/>
    <w:link w:val="CommentText"/>
    <w:uiPriority w:val="99"/>
    <w:rsid w:val="00D862C0"/>
    <w:rPr>
      <w:rFonts w:ascii="Arial" w:hAnsi="Arial" w:cs="Arial"/>
      <w:iCs/>
      <w:color w:val="3FA6CC" w:themeColor="text1"/>
    </w:rPr>
  </w:style>
  <w:style w:type="paragraph" w:customStyle="1" w:styleId="Default">
    <w:name w:val="Default"/>
    <w:rsid w:val="00D862C0"/>
    <w:pPr>
      <w:autoSpaceDE w:val="0"/>
      <w:autoSpaceDN w:val="0"/>
      <w:adjustRightInd w:val="0"/>
      <w:spacing w:before="0" w:after="0"/>
    </w:pPr>
    <w:rPr>
      <w:rFonts w:ascii="Arial" w:hAnsi="Arial" w:cs="Arial"/>
      <w:color w:val="000000"/>
      <w:sz w:val="24"/>
      <w:szCs w:val="24"/>
    </w:rPr>
  </w:style>
  <w:style w:type="paragraph" w:styleId="TOCHeading">
    <w:name w:val="TOC Heading"/>
    <w:basedOn w:val="Heading1"/>
    <w:next w:val="Normal"/>
    <w:uiPriority w:val="39"/>
    <w:unhideWhenUsed/>
    <w:qFormat/>
    <w:rsid w:val="006D4623"/>
    <w:pPr>
      <w:spacing w:before="240" w:after="0" w:line="259" w:lineRule="auto"/>
      <w:outlineLvl w:val="9"/>
    </w:pPr>
    <w:rPr>
      <w:rFonts w:asciiTheme="majorHAnsi" w:eastAsiaTheme="majorEastAsia" w:hAnsiTheme="majorHAnsi" w:cstheme="majorBidi"/>
      <w:color w:val="B34E00" w:themeColor="accent1" w:themeShade="BF"/>
      <w:kern w:val="0"/>
      <w:sz w:val="32"/>
      <w:szCs w:val="32"/>
      <w:lang w:val="en-US"/>
    </w:rPr>
  </w:style>
  <w:style w:type="paragraph" w:styleId="CommentSubject">
    <w:name w:val="annotation subject"/>
    <w:basedOn w:val="CommentText"/>
    <w:next w:val="CommentText"/>
    <w:link w:val="CommentSubjectChar"/>
    <w:uiPriority w:val="99"/>
    <w:semiHidden/>
    <w:unhideWhenUsed/>
    <w:rsid w:val="00A276BE"/>
    <w:rPr>
      <w:b/>
      <w:bCs/>
    </w:rPr>
  </w:style>
  <w:style w:type="character" w:customStyle="1" w:styleId="CommentSubjectChar">
    <w:name w:val="Comment Subject Char"/>
    <w:basedOn w:val="CommentTextChar"/>
    <w:link w:val="CommentSubject"/>
    <w:uiPriority w:val="99"/>
    <w:semiHidden/>
    <w:rsid w:val="00A276BE"/>
    <w:rPr>
      <w:rFonts w:ascii="Arial" w:hAnsi="Arial" w:cs="Arial"/>
      <w:b/>
      <w:bCs/>
      <w:iCs/>
      <w:color w:val="3FA6CC" w:themeColor="text1"/>
    </w:rPr>
  </w:style>
  <w:style w:type="paragraph" w:styleId="Revision">
    <w:name w:val="Revision"/>
    <w:hidden/>
    <w:uiPriority w:val="99"/>
    <w:semiHidden/>
    <w:rsid w:val="00A276BE"/>
    <w:pPr>
      <w:spacing w:before="0" w:after="0"/>
    </w:pPr>
    <w:rPr>
      <w:rFonts w:ascii="Arial" w:hAnsi="Arial" w:cs="Arial"/>
      <w:iCs/>
      <w:color w:val="3FA6CC" w:themeColor="text1"/>
    </w:rPr>
  </w:style>
  <w:style w:type="character" w:styleId="FollowedHyperlink">
    <w:name w:val="FollowedHyperlink"/>
    <w:basedOn w:val="DefaultParagraphFont"/>
    <w:uiPriority w:val="99"/>
    <w:semiHidden/>
    <w:unhideWhenUsed/>
    <w:rsid w:val="00F3253F"/>
    <w:rPr>
      <w:color w:val="646464" w:themeColor="followedHyperlink"/>
      <w:u w:val="single"/>
    </w:rPr>
  </w:style>
  <w:style w:type="table" w:customStyle="1" w:styleId="TableGrid0">
    <w:name w:val="TableGrid"/>
    <w:rsid w:val="00FE4E68"/>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B4BAF"/>
    <w:rPr>
      <w:color w:val="605E5C"/>
      <w:shd w:val="clear" w:color="auto" w:fill="E1DFDD"/>
    </w:rPr>
  </w:style>
  <w:style w:type="paragraph" w:customStyle="1" w:styleId="paragraph">
    <w:name w:val="paragraph"/>
    <w:basedOn w:val="Normal"/>
    <w:rsid w:val="00D84D35"/>
    <w:pPr>
      <w:spacing w:before="100" w:beforeAutospacing="1" w:after="100" w:afterAutospacing="1" w:line="240" w:lineRule="auto"/>
      <w:jc w:val="left"/>
    </w:pPr>
    <w:rPr>
      <w:rFonts w:ascii="Times New Roman" w:hAnsi="Times New Roman" w:cs="Times New Roman"/>
      <w:iCs w:val="0"/>
      <w:color w:val="auto"/>
      <w:sz w:val="24"/>
      <w:szCs w:val="24"/>
    </w:rPr>
  </w:style>
  <w:style w:type="character" w:customStyle="1" w:styleId="normaltextrun">
    <w:name w:val="normaltextrun"/>
    <w:basedOn w:val="DefaultParagraphFont"/>
    <w:rsid w:val="00D84D35"/>
  </w:style>
  <w:style w:type="character" w:customStyle="1" w:styleId="eop">
    <w:name w:val="eop"/>
    <w:basedOn w:val="DefaultParagraphFont"/>
    <w:rsid w:val="00D8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363">
      <w:bodyDiv w:val="1"/>
      <w:marLeft w:val="0"/>
      <w:marRight w:val="0"/>
      <w:marTop w:val="0"/>
      <w:marBottom w:val="0"/>
      <w:divBdr>
        <w:top w:val="none" w:sz="0" w:space="0" w:color="auto"/>
        <w:left w:val="none" w:sz="0" w:space="0" w:color="auto"/>
        <w:bottom w:val="none" w:sz="0" w:space="0" w:color="auto"/>
        <w:right w:val="none" w:sz="0" w:space="0" w:color="auto"/>
      </w:divBdr>
    </w:div>
    <w:div w:id="70663745">
      <w:bodyDiv w:val="1"/>
      <w:marLeft w:val="0"/>
      <w:marRight w:val="0"/>
      <w:marTop w:val="0"/>
      <w:marBottom w:val="0"/>
      <w:divBdr>
        <w:top w:val="none" w:sz="0" w:space="0" w:color="auto"/>
        <w:left w:val="none" w:sz="0" w:space="0" w:color="auto"/>
        <w:bottom w:val="none" w:sz="0" w:space="0" w:color="auto"/>
        <w:right w:val="none" w:sz="0" w:space="0" w:color="auto"/>
      </w:divBdr>
    </w:div>
    <w:div w:id="610164318">
      <w:bodyDiv w:val="1"/>
      <w:marLeft w:val="0"/>
      <w:marRight w:val="0"/>
      <w:marTop w:val="0"/>
      <w:marBottom w:val="0"/>
      <w:divBdr>
        <w:top w:val="none" w:sz="0" w:space="0" w:color="auto"/>
        <w:left w:val="none" w:sz="0" w:space="0" w:color="auto"/>
        <w:bottom w:val="none" w:sz="0" w:space="0" w:color="auto"/>
        <w:right w:val="none" w:sz="0" w:space="0" w:color="auto"/>
      </w:divBdr>
    </w:div>
    <w:div w:id="704216281">
      <w:bodyDiv w:val="1"/>
      <w:marLeft w:val="0"/>
      <w:marRight w:val="0"/>
      <w:marTop w:val="0"/>
      <w:marBottom w:val="0"/>
      <w:divBdr>
        <w:top w:val="none" w:sz="0" w:space="0" w:color="auto"/>
        <w:left w:val="none" w:sz="0" w:space="0" w:color="auto"/>
        <w:bottom w:val="none" w:sz="0" w:space="0" w:color="auto"/>
        <w:right w:val="none" w:sz="0" w:space="0" w:color="auto"/>
      </w:divBdr>
    </w:div>
    <w:div w:id="1660689388">
      <w:bodyDiv w:val="1"/>
      <w:marLeft w:val="0"/>
      <w:marRight w:val="0"/>
      <w:marTop w:val="0"/>
      <w:marBottom w:val="0"/>
      <w:divBdr>
        <w:top w:val="none" w:sz="0" w:space="0" w:color="auto"/>
        <w:left w:val="none" w:sz="0" w:space="0" w:color="auto"/>
        <w:bottom w:val="none" w:sz="0" w:space="0" w:color="auto"/>
        <w:right w:val="none" w:sz="0" w:space="0" w:color="auto"/>
      </w:divBdr>
    </w:div>
    <w:div w:id="1672098777">
      <w:bodyDiv w:val="1"/>
      <w:marLeft w:val="0"/>
      <w:marRight w:val="0"/>
      <w:marTop w:val="0"/>
      <w:marBottom w:val="0"/>
      <w:divBdr>
        <w:top w:val="none" w:sz="0" w:space="0" w:color="auto"/>
        <w:left w:val="none" w:sz="0" w:space="0" w:color="auto"/>
        <w:bottom w:val="none" w:sz="0" w:space="0" w:color="auto"/>
        <w:right w:val="none" w:sz="0" w:space="0" w:color="auto"/>
      </w:divBdr>
      <w:divsChild>
        <w:div w:id="1925603874">
          <w:marLeft w:val="0"/>
          <w:marRight w:val="0"/>
          <w:marTop w:val="0"/>
          <w:marBottom w:val="0"/>
          <w:divBdr>
            <w:top w:val="none" w:sz="0" w:space="0" w:color="auto"/>
            <w:left w:val="none" w:sz="0" w:space="0" w:color="auto"/>
            <w:bottom w:val="none" w:sz="0" w:space="0" w:color="auto"/>
            <w:right w:val="none" w:sz="0" w:space="0" w:color="auto"/>
          </w:divBdr>
        </w:div>
        <w:div w:id="1182813834">
          <w:marLeft w:val="0"/>
          <w:marRight w:val="0"/>
          <w:marTop w:val="0"/>
          <w:marBottom w:val="0"/>
          <w:divBdr>
            <w:top w:val="none" w:sz="0" w:space="0" w:color="auto"/>
            <w:left w:val="none" w:sz="0" w:space="0" w:color="auto"/>
            <w:bottom w:val="none" w:sz="0" w:space="0" w:color="auto"/>
            <w:right w:val="none" w:sz="0" w:space="0" w:color="auto"/>
          </w:divBdr>
        </w:div>
        <w:div w:id="788475836">
          <w:marLeft w:val="0"/>
          <w:marRight w:val="0"/>
          <w:marTop w:val="0"/>
          <w:marBottom w:val="0"/>
          <w:divBdr>
            <w:top w:val="none" w:sz="0" w:space="0" w:color="auto"/>
            <w:left w:val="none" w:sz="0" w:space="0" w:color="auto"/>
            <w:bottom w:val="none" w:sz="0" w:space="0" w:color="auto"/>
            <w:right w:val="none" w:sz="0" w:space="0" w:color="auto"/>
          </w:divBdr>
        </w:div>
        <w:div w:id="1343320715">
          <w:marLeft w:val="0"/>
          <w:marRight w:val="0"/>
          <w:marTop w:val="0"/>
          <w:marBottom w:val="0"/>
          <w:divBdr>
            <w:top w:val="none" w:sz="0" w:space="0" w:color="auto"/>
            <w:left w:val="none" w:sz="0" w:space="0" w:color="auto"/>
            <w:bottom w:val="none" w:sz="0" w:space="0" w:color="auto"/>
            <w:right w:val="none" w:sz="0" w:space="0" w:color="auto"/>
          </w:divBdr>
        </w:div>
      </w:divsChild>
    </w:div>
    <w:div w:id="1846629183">
      <w:bodyDiv w:val="1"/>
      <w:marLeft w:val="0"/>
      <w:marRight w:val="0"/>
      <w:marTop w:val="0"/>
      <w:marBottom w:val="0"/>
      <w:divBdr>
        <w:top w:val="none" w:sz="0" w:space="0" w:color="auto"/>
        <w:left w:val="none" w:sz="0" w:space="0" w:color="auto"/>
        <w:bottom w:val="none" w:sz="0" w:space="0" w:color="auto"/>
        <w:right w:val="none" w:sz="0" w:space="0" w:color="auto"/>
      </w:divBdr>
    </w:div>
    <w:div w:id="20808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lgpsregs.org/schemeregs/lgpsregs2018/timeline.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otlgpsregs.org/schemeregs/tpregs2014/timeline.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lgpsregs.org/schemeregs/lgpsregs2018/timeline.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BF9E972626724682E735BAC3C40610" ma:contentTypeVersion="3" ma:contentTypeDescription="Create a new document." ma:contentTypeScope="" ma:versionID="d379d8a12ffeae06cef4fb07e2c0ca90">
  <xsd:schema xmlns:xsd="http://www.w3.org/2001/XMLSchema" xmlns:xs="http://www.w3.org/2001/XMLSchema" xmlns:p="http://schemas.microsoft.com/office/2006/metadata/properties" xmlns:ns2="6ff8323f-d529-44e3-997a-6f5b485fc6bc" targetNamespace="http://schemas.microsoft.com/office/2006/metadata/properties" ma:root="true" ma:fieldsID="b9e580df6ec4b869bd79170d0d41764a" ns2:_="">
    <xsd:import namespace="6ff8323f-d529-44e3-997a-6f5b485fc6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8323f-d529-44e3-997a-6f5b485fc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CE1BF-83BB-4B6D-BD7B-78AF9DF29475}">
  <ds:schemaRefs>
    <ds:schemaRef ds:uri="http://schemas.openxmlformats.org/officeDocument/2006/bibliography"/>
  </ds:schemaRefs>
</ds:datastoreItem>
</file>

<file path=customXml/itemProps2.xml><?xml version="1.0" encoding="utf-8"?>
<ds:datastoreItem xmlns:ds="http://schemas.openxmlformats.org/officeDocument/2006/customXml" ds:itemID="{C6C10B02-8CBE-4227-BC1F-9294789B52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D3F34-E88C-40A2-9DA0-F4B26CD82DD3}">
  <ds:schemaRefs>
    <ds:schemaRef ds:uri="http://schemas.microsoft.com/sharepoint/v3/contenttype/forms"/>
  </ds:schemaRefs>
</ds:datastoreItem>
</file>

<file path=customXml/itemProps4.xml><?xml version="1.0" encoding="utf-8"?>
<ds:datastoreItem xmlns:ds="http://schemas.openxmlformats.org/officeDocument/2006/customXml" ds:itemID="{25D12932-7208-4586-9360-038353152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8323f-d529-44e3-997a-6f5b485fc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18869</CharactersWithSpaces>
  <SharedDoc>false</SharedDoc>
  <HLinks>
    <vt:vector size="24" baseType="variant">
      <vt:variant>
        <vt:i4>2162804</vt:i4>
      </vt:variant>
      <vt:variant>
        <vt:i4>9</vt:i4>
      </vt:variant>
      <vt:variant>
        <vt:i4>0</vt:i4>
      </vt:variant>
      <vt:variant>
        <vt:i4>5</vt:i4>
      </vt:variant>
      <vt:variant>
        <vt:lpwstr>https://scotlgpsregs.org/schemeregs/lgpsregs2018/timeline.php</vt:lpwstr>
      </vt:variant>
      <vt:variant>
        <vt:lpwstr>r61</vt:lpwstr>
      </vt:variant>
      <vt:variant>
        <vt:i4>8192090</vt:i4>
      </vt:variant>
      <vt:variant>
        <vt:i4>6</vt:i4>
      </vt:variant>
      <vt:variant>
        <vt:i4>0</vt:i4>
      </vt:variant>
      <vt:variant>
        <vt:i4>5</vt:i4>
      </vt:variant>
      <vt:variant>
        <vt:lpwstr/>
      </vt:variant>
      <vt:variant>
        <vt:lpwstr>_Deferred_spreading_arrangement</vt:lpwstr>
      </vt:variant>
      <vt:variant>
        <vt:i4>2883625</vt:i4>
      </vt:variant>
      <vt:variant>
        <vt:i4>3</vt:i4>
      </vt:variant>
      <vt:variant>
        <vt:i4>0</vt:i4>
      </vt:variant>
      <vt:variant>
        <vt:i4>5</vt:i4>
      </vt:variant>
      <vt:variant>
        <vt:lpwstr>https://scotlgpsregs.org/schemeregs/tpregs2014/timeline.php</vt:lpwstr>
      </vt:variant>
      <vt:variant>
        <vt:lpwstr>r25A</vt:lpwstr>
      </vt:variant>
      <vt:variant>
        <vt:i4>2162804</vt:i4>
      </vt:variant>
      <vt:variant>
        <vt:i4>0</vt:i4>
      </vt:variant>
      <vt:variant>
        <vt:i4>0</vt:i4>
      </vt:variant>
      <vt:variant>
        <vt:i4>5</vt:i4>
      </vt:variant>
      <vt:variant>
        <vt:lpwstr>https://scotlgpsregs.org/schemeregs/lgpsregs2018/timeline.php</vt:lpwstr>
      </vt:variant>
      <vt:variant>
        <vt:lpwstr>r61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Robert.McInroy@hymans.co.uk</dc:creator>
  <cp:lastModifiedBy>Catherine Carruthers</cp:lastModifiedBy>
  <cp:revision>2</cp:revision>
  <cp:lastPrinted>2019-08-07T13:49:00Z</cp:lastPrinted>
  <dcterms:created xsi:type="dcterms:W3CDTF">2024-03-15T10:05:00Z</dcterms:created>
  <dcterms:modified xsi:type="dcterms:W3CDTF">2024-03-15T10:05:00Z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0x010100D8BF9E972626724682E735BAC3C40610</vt:lpwstr>
  </property>
</Properties>
</file>